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43BB5">
        <w:trPr>
          <w:trHeight w:val="3402"/>
        </w:trPr>
        <w:tc>
          <w:tcPr>
            <w:tcW w:w="10421" w:type="dxa"/>
            <w:vAlign w:val="center"/>
          </w:tcPr>
          <w:p w:rsidR="00C43BB5" w:rsidRDefault="008268EF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BB5" w:rsidRDefault="00C43BB5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43BB5" w:rsidRDefault="008268EF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C43BB5" w:rsidRDefault="008268EF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43BB5" w:rsidRDefault="00C43BB5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43BB5" w:rsidRDefault="008268EF">
            <w:proofErr w:type="gramStart"/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_GoBack"/>
            <w:r w:rsidR="00307208" w:rsidRPr="00307208">
              <w:rPr>
                <w:color w:val="000080"/>
                <w:sz w:val="24"/>
                <w:szCs w:val="24"/>
              </w:rPr>
              <w:t>24.12.2025</w:t>
            </w:r>
            <w:proofErr w:type="gramEnd"/>
            <w:r w:rsidR="00307208" w:rsidRPr="00307208">
              <w:rPr>
                <w:color w:val="000080"/>
                <w:sz w:val="24"/>
                <w:szCs w:val="24"/>
              </w:rPr>
              <w:t xml:space="preserve">  № 191</w:t>
            </w:r>
            <w:r w:rsidR="00307208">
              <w:rPr>
                <w:color w:val="000080"/>
                <w:sz w:val="24"/>
                <w:szCs w:val="24"/>
              </w:rPr>
              <w:t>1</w:t>
            </w:r>
            <w:r w:rsidR="00307208" w:rsidRPr="00307208">
              <w:rPr>
                <w:color w:val="000080"/>
                <w:sz w:val="24"/>
                <w:szCs w:val="24"/>
              </w:rPr>
              <w:t>-рп</w:t>
            </w:r>
            <w:bookmarkStart w:id="2" w:name="NUM"/>
            <w:bookmarkEnd w:id="2"/>
            <w:bookmarkEnd w:id="1"/>
          </w:p>
          <w:p w:rsidR="00C43BB5" w:rsidRDefault="00C43BB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C43BB5" w:rsidRDefault="00C43BB5">
      <w:pPr>
        <w:tabs>
          <w:tab w:val="left" w:pos="6930"/>
        </w:tabs>
        <w:rPr>
          <w:sz w:val="28"/>
          <w:szCs w:val="28"/>
        </w:rPr>
      </w:pPr>
    </w:p>
    <w:p w:rsidR="00C43BB5" w:rsidRDefault="00C43BB5">
      <w:pPr>
        <w:rPr>
          <w:sz w:val="28"/>
          <w:szCs w:val="28"/>
        </w:rPr>
      </w:pPr>
    </w:p>
    <w:p w:rsidR="00C43BB5" w:rsidRDefault="00C43BB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</w:tblGrid>
      <w:tr w:rsidR="00C43BB5">
        <w:tc>
          <w:tcPr>
            <w:tcW w:w="4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43BB5" w:rsidRDefault="008268EF">
            <w:pPr>
              <w:pStyle w:val="HTML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 условиях приватизации областного государственного унитарного предприятия «Экология»</w:t>
            </w:r>
          </w:p>
          <w:p w:rsidR="00C43BB5" w:rsidRDefault="00C43BB5">
            <w:pPr>
              <w:pStyle w:val="HTML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3BB5" w:rsidRDefault="008268EF">
      <w:pPr>
        <w:tabs>
          <w:tab w:val="left" w:pos="4253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областным законом «О прогнозном плане (программе) приватизации государственного имущества Смоленской области на 2025 год»:</w:t>
      </w:r>
    </w:p>
    <w:p w:rsidR="00C43BB5" w:rsidRDefault="00C43BB5">
      <w:pPr>
        <w:pStyle w:val="afd"/>
        <w:ind w:firstLine="720"/>
      </w:pPr>
    </w:p>
    <w:p w:rsidR="00C43BB5" w:rsidRDefault="008268EF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1. Приватизировать областное государственное унитарное предприятие </w:t>
      </w:r>
      <w:r>
        <w:rPr>
          <w:sz w:val="28"/>
        </w:rPr>
        <w:t>«Экология»</w:t>
      </w:r>
      <w:r>
        <w:rPr>
          <w:sz w:val="28"/>
          <w:szCs w:val="28"/>
        </w:rPr>
        <w:t xml:space="preserve"> (далее также – ОГУП </w:t>
      </w:r>
      <w:r>
        <w:rPr>
          <w:sz w:val="28"/>
        </w:rPr>
        <w:t>«Экология»</w:t>
      </w:r>
      <w:r>
        <w:rPr>
          <w:sz w:val="28"/>
          <w:szCs w:val="28"/>
        </w:rPr>
        <w:t xml:space="preserve">), расположенное по адресу: Смоленская область, г. Смоленск, ул. </w:t>
      </w:r>
      <w:proofErr w:type="spellStart"/>
      <w:r>
        <w:rPr>
          <w:sz w:val="28"/>
          <w:szCs w:val="28"/>
        </w:rPr>
        <w:t>Кловская</w:t>
      </w:r>
      <w:proofErr w:type="spellEnd"/>
      <w:r>
        <w:rPr>
          <w:sz w:val="28"/>
          <w:szCs w:val="28"/>
        </w:rPr>
        <w:t xml:space="preserve">, д. 13, путем преобразования в акционерное общество </w:t>
      </w:r>
      <w:r>
        <w:rPr>
          <w:sz w:val="28"/>
        </w:rPr>
        <w:t>«Экология»</w:t>
      </w:r>
      <w:r>
        <w:rPr>
          <w:sz w:val="28"/>
          <w:szCs w:val="28"/>
        </w:rPr>
        <w:t xml:space="preserve"> (далее также – АО </w:t>
      </w:r>
      <w:r>
        <w:rPr>
          <w:sz w:val="28"/>
        </w:rPr>
        <w:t>«Экология»</w:t>
      </w:r>
      <w:r>
        <w:rPr>
          <w:sz w:val="28"/>
          <w:szCs w:val="28"/>
        </w:rPr>
        <w:t xml:space="preserve">) с уставным капиталом </w:t>
      </w:r>
      <w:r>
        <w:rPr>
          <w:sz w:val="28"/>
          <w:szCs w:val="28"/>
          <w:highlight w:val="white"/>
        </w:rPr>
        <w:t>261 559 000 (двести шестьдесят один миллион пятьсот пятьдесят девять</w:t>
      </w:r>
      <w:r>
        <w:rPr>
          <w:sz w:val="28"/>
          <w:szCs w:val="28"/>
          <w:highlight w:val="white"/>
        </w:rPr>
        <w:t xml:space="preserve"> тысяч) рублей, состоящим из 261 559 (двести шестьдесят одна тысяча пятьсот пятьдесят девять) штук обыкновенных именных акций номинальной стоимостью одной акции 1 000 (одна тысяча) рублей.</w:t>
      </w:r>
    </w:p>
    <w:p w:rsidR="00C43BB5" w:rsidRDefault="008268E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Доля принадлежащих Смоленской области акций в общем количестве акци</w:t>
      </w:r>
      <w:r>
        <w:rPr>
          <w:sz w:val="28"/>
          <w:szCs w:val="28"/>
        </w:rPr>
        <w:t xml:space="preserve">й АО </w:t>
      </w:r>
      <w:r>
        <w:rPr>
          <w:sz w:val="28"/>
        </w:rPr>
        <w:t>«Экология»</w:t>
      </w:r>
      <w:r>
        <w:rPr>
          <w:sz w:val="28"/>
          <w:szCs w:val="28"/>
        </w:rPr>
        <w:t xml:space="preserve"> составляет 100 процентов.</w:t>
      </w:r>
    </w:p>
    <w:p w:rsidR="00C43BB5" w:rsidRDefault="008268E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акций осуществляется путем внесения в уставный капитал АО </w:t>
      </w:r>
      <w:r>
        <w:rPr>
          <w:sz w:val="28"/>
        </w:rPr>
        <w:t>«Экология»</w:t>
      </w:r>
      <w:r>
        <w:rPr>
          <w:sz w:val="28"/>
          <w:szCs w:val="28"/>
        </w:rPr>
        <w:t xml:space="preserve"> имущества ОГУП </w:t>
      </w:r>
      <w:r>
        <w:rPr>
          <w:sz w:val="28"/>
        </w:rPr>
        <w:t>«Экология»</w:t>
      </w:r>
      <w:r>
        <w:rPr>
          <w:sz w:val="28"/>
          <w:szCs w:val="28"/>
        </w:rPr>
        <w:t xml:space="preserve">, включенного в </w:t>
      </w:r>
      <w:r>
        <w:rPr>
          <w:sz w:val="28"/>
        </w:rPr>
        <w:t>прогнозный план (программу) приватизации государственного имущества Смоленской области на 2025 го</w:t>
      </w:r>
      <w:r>
        <w:rPr>
          <w:sz w:val="28"/>
        </w:rPr>
        <w:t>д</w:t>
      </w:r>
      <w:r>
        <w:rPr>
          <w:sz w:val="28"/>
          <w:szCs w:val="28"/>
        </w:rPr>
        <w:t>.</w:t>
      </w:r>
    </w:p>
    <w:p w:rsidR="00C43BB5" w:rsidRDefault="008268E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состав подлежащего приватизации имущественного комплекса областного государственного унитарного предприятия </w:t>
      </w:r>
      <w:r>
        <w:rPr>
          <w:sz w:val="28"/>
        </w:rPr>
        <w:t>«Экология»</w:t>
      </w:r>
      <w:r>
        <w:rPr>
          <w:sz w:val="28"/>
          <w:szCs w:val="28"/>
        </w:rPr>
        <w:t xml:space="preserve"> согласно приложению № 1.</w:t>
      </w:r>
    </w:p>
    <w:p w:rsidR="00C43BB5" w:rsidRDefault="008268E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расчет балансовой стоимости подлежащих приватизации активов областного государствен</w:t>
      </w:r>
      <w:r>
        <w:rPr>
          <w:sz w:val="28"/>
          <w:szCs w:val="28"/>
        </w:rPr>
        <w:t xml:space="preserve">ного унитарного предприятия </w:t>
      </w:r>
      <w:r>
        <w:rPr>
          <w:sz w:val="28"/>
        </w:rPr>
        <w:t>«Экология»</w:t>
      </w:r>
      <w:r>
        <w:rPr>
          <w:sz w:val="28"/>
          <w:szCs w:val="28"/>
        </w:rPr>
        <w:t xml:space="preserve"> согласно приложению № 2.</w:t>
      </w:r>
    </w:p>
    <w:p w:rsidR="00C43BB5" w:rsidRDefault="008268E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прилагаемый Устав акционерного общества </w:t>
      </w:r>
      <w:r>
        <w:rPr>
          <w:sz w:val="28"/>
        </w:rPr>
        <w:t>«Экология»</w:t>
      </w:r>
      <w:r>
        <w:rPr>
          <w:sz w:val="28"/>
          <w:szCs w:val="28"/>
        </w:rPr>
        <w:t>.</w:t>
      </w:r>
    </w:p>
    <w:p w:rsidR="00C43BB5" w:rsidRDefault="008268EF">
      <w:pPr>
        <w:ind w:firstLine="705"/>
        <w:jc w:val="both"/>
        <w:rPr>
          <w:sz w:val="28"/>
        </w:rPr>
      </w:pPr>
      <w:r>
        <w:rPr>
          <w:sz w:val="28"/>
          <w:szCs w:val="28"/>
        </w:rPr>
        <w:t xml:space="preserve">5. Утвердить Акционерное общество ВТБ Регистратор (ОРГН 1045605469744) (далее – АО ВТБ Регистратор) в качестве регистратора АО </w:t>
      </w:r>
      <w:r>
        <w:rPr>
          <w:sz w:val="28"/>
        </w:rPr>
        <w:t>«Экология».</w:t>
      </w:r>
    </w:p>
    <w:p w:rsidR="00C43BB5" w:rsidRDefault="008268E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Утвердить условия договора на оказание услуг по ведению реестра владельцев ценных бумаг.</w:t>
      </w:r>
    </w:p>
    <w:p w:rsidR="00C43BB5" w:rsidRDefault="008268E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Определить состав совета директоров АО </w:t>
      </w:r>
      <w:r>
        <w:rPr>
          <w:sz w:val="28"/>
        </w:rPr>
        <w:t>«Экология»</w:t>
      </w:r>
      <w:r>
        <w:rPr>
          <w:sz w:val="28"/>
          <w:szCs w:val="28"/>
        </w:rPr>
        <w:t xml:space="preserve"> в количестве                     3 человек.</w:t>
      </w:r>
    </w:p>
    <w:p w:rsidR="00C43BB5" w:rsidRDefault="008268E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состав ревизионной комиссии АО </w:t>
      </w:r>
      <w:r>
        <w:rPr>
          <w:sz w:val="28"/>
        </w:rPr>
        <w:t>«Экология»</w:t>
      </w:r>
      <w:r>
        <w:rPr>
          <w:sz w:val="28"/>
          <w:szCs w:val="28"/>
        </w:rPr>
        <w:t xml:space="preserve"> в кол</w:t>
      </w:r>
      <w:r>
        <w:rPr>
          <w:sz w:val="28"/>
          <w:szCs w:val="28"/>
        </w:rPr>
        <w:t>ичестве 3 человек.</w:t>
      </w:r>
    </w:p>
    <w:p w:rsidR="00C43BB5" w:rsidRDefault="008268E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До первого общего собрания акционеров АО </w:t>
      </w:r>
      <w:r>
        <w:rPr>
          <w:sz w:val="28"/>
        </w:rPr>
        <w:t>«Экология»</w:t>
      </w:r>
      <w:r>
        <w:rPr>
          <w:sz w:val="28"/>
          <w:szCs w:val="28"/>
        </w:rPr>
        <w:t xml:space="preserve"> назначить:</w:t>
      </w:r>
    </w:p>
    <w:p w:rsidR="00C43BB5" w:rsidRDefault="008268EF">
      <w:pPr>
        <w:ind w:firstLine="705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7.1. Генеральным директором АО </w:t>
      </w:r>
      <w:r>
        <w:rPr>
          <w:sz w:val="28"/>
        </w:rPr>
        <w:t>«Экология»</w:t>
      </w:r>
      <w:r>
        <w:rPr>
          <w:sz w:val="28"/>
          <w:szCs w:val="28"/>
        </w:rPr>
        <w:t xml:space="preserve"> Герасимова Дмитрия Михайловича</w:t>
      </w:r>
      <w:r>
        <w:rPr>
          <w:sz w:val="28"/>
          <w:szCs w:val="28"/>
          <w:highlight w:val="white"/>
        </w:rPr>
        <w:t>.</w:t>
      </w:r>
    </w:p>
    <w:p w:rsidR="00C43BB5" w:rsidRDefault="008268E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Членами совета директоров АО </w:t>
      </w:r>
      <w:r>
        <w:rPr>
          <w:sz w:val="28"/>
        </w:rPr>
        <w:t>«Экология»</w:t>
      </w:r>
      <w:r>
        <w:rPr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5358"/>
      </w:tblGrid>
      <w:tr w:rsidR="00C43BB5">
        <w:tc>
          <w:tcPr>
            <w:tcW w:w="4673" w:type="dxa"/>
          </w:tcPr>
          <w:p w:rsidR="00C43BB5" w:rsidRDefault="00826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Кима</w:t>
            </w:r>
          </w:p>
          <w:p w:rsidR="00C43BB5" w:rsidRDefault="008268EF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Евгения Константиновича</w:t>
            </w:r>
          </w:p>
        </w:tc>
        <w:tc>
          <w:tcPr>
            <w:tcW w:w="5358" w:type="dxa"/>
          </w:tcPr>
          <w:p w:rsidR="00C43BB5" w:rsidRDefault="00826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 министра природных ресурсов и экологии Смоленской области (председатель совета директоров)</w:t>
            </w:r>
          </w:p>
        </w:tc>
      </w:tr>
    </w:tbl>
    <w:p w:rsidR="00C43BB5" w:rsidRDefault="00C43BB5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3"/>
        <w:gridCol w:w="5301"/>
      </w:tblGrid>
      <w:tr w:rsidR="00C43BB5">
        <w:trPr>
          <w:trHeight w:val="2902"/>
        </w:trPr>
        <w:tc>
          <w:tcPr>
            <w:tcW w:w="4643" w:type="dxa"/>
          </w:tcPr>
          <w:p w:rsidR="00C43BB5" w:rsidRDefault="00826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Власову</w:t>
            </w:r>
          </w:p>
          <w:p w:rsidR="00C43BB5" w:rsidRDefault="008268EF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Светлану Петровну</w:t>
            </w:r>
          </w:p>
          <w:p w:rsidR="00C43BB5" w:rsidRDefault="00C43BB5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43BB5" w:rsidRDefault="00C43BB5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43BB5" w:rsidRDefault="00C43BB5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43BB5" w:rsidRDefault="00C43BB5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43BB5" w:rsidRDefault="008268EF">
            <w:pPr>
              <w:jc w:val="both"/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</w:rPr>
              <w:t>Редченкова</w:t>
            </w:r>
            <w:proofErr w:type="spellEnd"/>
          </w:p>
          <w:p w:rsidR="00C43BB5" w:rsidRDefault="008268EF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Артура Юрьевича</w:t>
            </w:r>
          </w:p>
          <w:p w:rsidR="00C43BB5" w:rsidRDefault="00C43BB5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301" w:type="dxa"/>
          </w:tcPr>
          <w:p w:rsidR="00C43BB5" w:rsidRDefault="00826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заместителя министра природных ресурсов и экологии Смоленской               области – начальника отдел</w:t>
            </w:r>
            <w:r>
              <w:rPr>
                <w:sz w:val="28"/>
                <w:szCs w:val="28"/>
              </w:rPr>
              <w:t>а охраны окружающей среды и регулирования деятельности по обращению с отходами</w:t>
            </w:r>
          </w:p>
          <w:p w:rsidR="00C43BB5" w:rsidRDefault="00C43BB5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43BB5" w:rsidRDefault="008268EF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– заместителя министра природных ресурсов и экологии Смоленской области.</w:t>
            </w:r>
          </w:p>
          <w:p w:rsidR="00C43BB5" w:rsidRDefault="00C43BB5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C43BB5" w:rsidRDefault="008268E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Членами ревизионной комиссии АО </w:t>
      </w:r>
      <w:r>
        <w:rPr>
          <w:sz w:val="28"/>
        </w:rPr>
        <w:t>«Экология»</w:t>
      </w:r>
      <w:r>
        <w:rPr>
          <w:sz w:val="28"/>
          <w:szCs w:val="28"/>
        </w:rPr>
        <w:t>:</w:t>
      </w:r>
    </w:p>
    <w:p w:rsidR="00C43BB5" w:rsidRDefault="00C43BB5">
      <w:pPr>
        <w:ind w:firstLine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5517"/>
      </w:tblGrid>
      <w:tr w:rsidR="00C43BB5">
        <w:tc>
          <w:tcPr>
            <w:tcW w:w="4673" w:type="dxa"/>
          </w:tcPr>
          <w:p w:rsidR="00C43BB5" w:rsidRDefault="00826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Богданову </w:t>
            </w:r>
          </w:p>
          <w:p w:rsidR="00C43BB5" w:rsidRDefault="00826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Нину Николаевну</w:t>
            </w:r>
          </w:p>
          <w:p w:rsidR="00C43BB5" w:rsidRDefault="00C43BB5">
            <w:pPr>
              <w:jc w:val="both"/>
              <w:rPr>
                <w:sz w:val="28"/>
                <w:szCs w:val="28"/>
              </w:rPr>
            </w:pPr>
          </w:p>
          <w:p w:rsidR="00C43BB5" w:rsidRDefault="00C43BB5">
            <w:pPr>
              <w:jc w:val="both"/>
              <w:rPr>
                <w:sz w:val="28"/>
                <w:szCs w:val="28"/>
              </w:rPr>
            </w:pPr>
          </w:p>
          <w:p w:rsidR="00C43BB5" w:rsidRDefault="00C43BB5">
            <w:pPr>
              <w:jc w:val="both"/>
              <w:rPr>
                <w:sz w:val="28"/>
                <w:szCs w:val="28"/>
              </w:rPr>
            </w:pPr>
          </w:p>
          <w:p w:rsidR="00C43BB5" w:rsidRDefault="00C43BB5">
            <w:pPr>
              <w:jc w:val="both"/>
              <w:rPr>
                <w:sz w:val="28"/>
                <w:szCs w:val="28"/>
              </w:rPr>
            </w:pPr>
          </w:p>
          <w:p w:rsidR="00C43BB5" w:rsidRDefault="00C43BB5">
            <w:pPr>
              <w:jc w:val="both"/>
              <w:rPr>
                <w:sz w:val="28"/>
                <w:szCs w:val="28"/>
              </w:rPr>
            </w:pPr>
          </w:p>
          <w:p w:rsidR="00C43BB5" w:rsidRDefault="00C43BB5">
            <w:pPr>
              <w:jc w:val="both"/>
              <w:rPr>
                <w:sz w:val="28"/>
                <w:szCs w:val="28"/>
              </w:rPr>
            </w:pPr>
          </w:p>
          <w:p w:rsidR="00C43BB5" w:rsidRDefault="008268EF"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Романовскую</w:t>
            </w:r>
          </w:p>
          <w:p w:rsidR="00C43BB5" w:rsidRDefault="008268EF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Веронику Михайловну</w:t>
            </w:r>
          </w:p>
          <w:p w:rsidR="00C43BB5" w:rsidRDefault="00C43BB5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43BB5" w:rsidRDefault="00826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Шадрину</w:t>
            </w:r>
          </w:p>
          <w:p w:rsidR="00C43BB5" w:rsidRDefault="00826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Ольгу Андреевну</w:t>
            </w:r>
          </w:p>
        </w:tc>
        <w:tc>
          <w:tcPr>
            <w:tcW w:w="5517" w:type="dxa"/>
          </w:tcPr>
          <w:p w:rsidR="00C43BB5" w:rsidRDefault="00826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начальника отдела отчетности и контроля за расходованием средств резервного фонда департамента финансового контроля Министерства Смоленской области по осуществлению контроля и взаимодействию с административным</w:t>
            </w:r>
            <w:r>
              <w:rPr>
                <w:sz w:val="28"/>
                <w:szCs w:val="28"/>
              </w:rPr>
              <w:t>и органами</w:t>
            </w:r>
          </w:p>
          <w:p w:rsidR="00C43BB5" w:rsidRDefault="00C43BB5">
            <w:pPr>
              <w:jc w:val="both"/>
              <w:rPr>
                <w:sz w:val="28"/>
                <w:szCs w:val="28"/>
              </w:rPr>
            </w:pPr>
          </w:p>
          <w:p w:rsidR="00C43BB5" w:rsidRDefault="008268EF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– первого заместителя министра природных ресурсов и экологии Смоленской области</w:t>
            </w:r>
          </w:p>
          <w:p w:rsidR="00C43BB5" w:rsidRDefault="00C43BB5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43BB5" w:rsidRDefault="00826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начальника отдела финансового и организационного обеспечения Министерства природных ресурсов и экологии Смоленской области.</w:t>
            </w:r>
          </w:p>
        </w:tc>
      </w:tr>
    </w:tbl>
    <w:p w:rsidR="00C43BB5" w:rsidRDefault="00C43BB5">
      <w:pPr>
        <w:ind w:firstLine="709"/>
        <w:jc w:val="both"/>
        <w:rPr>
          <w:sz w:val="28"/>
          <w:szCs w:val="28"/>
          <w:highlight w:val="yellow"/>
        </w:rPr>
      </w:pPr>
    </w:p>
    <w:p w:rsidR="00C43BB5" w:rsidRDefault="008268E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Министерству имущественных и земельных отношений Смоленской области (Е.В. </w:t>
      </w:r>
      <w:proofErr w:type="spellStart"/>
      <w:r>
        <w:rPr>
          <w:sz w:val="28"/>
          <w:szCs w:val="28"/>
        </w:rPr>
        <w:t>Макаревская</w:t>
      </w:r>
      <w:proofErr w:type="spellEnd"/>
      <w:r>
        <w:rPr>
          <w:sz w:val="28"/>
          <w:szCs w:val="28"/>
        </w:rPr>
        <w:t xml:space="preserve">) осуществить передачу имущественного комплекса ОГУП </w:t>
      </w:r>
      <w:r>
        <w:rPr>
          <w:sz w:val="28"/>
        </w:rPr>
        <w:t>«Экология»</w:t>
      </w:r>
      <w:r>
        <w:rPr>
          <w:sz w:val="28"/>
          <w:szCs w:val="28"/>
        </w:rPr>
        <w:t xml:space="preserve"> АО </w:t>
      </w:r>
      <w:r>
        <w:rPr>
          <w:sz w:val="28"/>
        </w:rPr>
        <w:t>«Экология»</w:t>
      </w:r>
      <w:r>
        <w:rPr>
          <w:sz w:val="28"/>
          <w:szCs w:val="28"/>
        </w:rPr>
        <w:t>.</w:t>
      </w:r>
    </w:p>
    <w:p w:rsidR="00C43BB5" w:rsidRDefault="008268EF">
      <w:pPr>
        <w:ind w:firstLine="705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9. Поручить исполняющему обязанности директора ОГУП </w:t>
      </w:r>
      <w:r>
        <w:rPr>
          <w:sz w:val="28"/>
        </w:rPr>
        <w:t xml:space="preserve">«Экология» </w:t>
      </w:r>
      <w:r>
        <w:rPr>
          <w:sz w:val="28"/>
          <w:szCs w:val="28"/>
        </w:rPr>
        <w:t>Герасимову Дмитрию Михайло</w:t>
      </w:r>
      <w:r>
        <w:rPr>
          <w:sz w:val="28"/>
          <w:szCs w:val="28"/>
        </w:rPr>
        <w:t>вичу:</w:t>
      </w:r>
    </w:p>
    <w:p w:rsidR="00C43BB5" w:rsidRDefault="008268E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9.1. Осуществить юридические действия по государственной регистрации АО </w:t>
      </w:r>
      <w:r>
        <w:rPr>
          <w:sz w:val="28"/>
        </w:rPr>
        <w:t>«Экология»</w:t>
      </w:r>
      <w:r>
        <w:rPr>
          <w:sz w:val="28"/>
          <w:szCs w:val="28"/>
        </w:rPr>
        <w:t>.</w:t>
      </w:r>
    </w:p>
    <w:p w:rsidR="00C43BB5" w:rsidRDefault="008268E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В течение 10 рабочих дней с даты принятия решения об условиях приватизации утвердить решение о выпуске акций акционерного общества «Экология» с размещением всех </w:t>
      </w:r>
      <w:r>
        <w:rPr>
          <w:sz w:val="28"/>
          <w:szCs w:val="28"/>
        </w:rPr>
        <w:t>акций единственному учредителю – субъекту Российской Федерации – Смоленской области в лице Министерства имущественных и земельных отношений Смоленской области – и направить соответствующие материалы в Отделение по Орловской области Главного управления Цент</w:t>
      </w:r>
      <w:r>
        <w:rPr>
          <w:sz w:val="28"/>
          <w:szCs w:val="28"/>
        </w:rPr>
        <w:t>рального банка Российской Федерации по Центральному федеральному округу (далее – Отделение Банка России по Орловской области).</w:t>
      </w:r>
    </w:p>
    <w:p w:rsidR="00C43BB5" w:rsidRDefault="008268E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9.3. Заключить договор с АО ВТБ Регистратор на ведение реестра владельцев ценных бумаг.</w:t>
      </w:r>
    </w:p>
    <w:p w:rsidR="00C43BB5" w:rsidRDefault="008268E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9.4. В 5-дневный срок после государственн</w:t>
      </w:r>
      <w:r>
        <w:rPr>
          <w:sz w:val="28"/>
          <w:szCs w:val="28"/>
        </w:rPr>
        <w:t xml:space="preserve">ой регистрации АО </w:t>
      </w:r>
      <w:r>
        <w:rPr>
          <w:sz w:val="28"/>
        </w:rPr>
        <w:t>«Экология»</w:t>
      </w:r>
      <w:r>
        <w:rPr>
          <w:sz w:val="28"/>
          <w:szCs w:val="28"/>
        </w:rPr>
        <w:t xml:space="preserve"> представить в Министерство имущественных и земельных отношений Смоленской области экземпляр Устава АО </w:t>
      </w:r>
      <w:r>
        <w:rPr>
          <w:sz w:val="28"/>
        </w:rPr>
        <w:t>«Экология»</w:t>
      </w:r>
      <w:r>
        <w:rPr>
          <w:sz w:val="28"/>
          <w:szCs w:val="28"/>
        </w:rPr>
        <w:t xml:space="preserve"> с отметкой регистрирующего органа, копию документа, подтверждающего факт внесения записи в единый государственный </w:t>
      </w:r>
      <w:r>
        <w:rPr>
          <w:sz w:val="28"/>
          <w:szCs w:val="28"/>
        </w:rPr>
        <w:t>реестр юридических лиц.</w:t>
      </w:r>
    </w:p>
    <w:p w:rsidR="00C43BB5" w:rsidRDefault="008268E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Поручить генеральному директору АО </w:t>
      </w:r>
      <w:r>
        <w:rPr>
          <w:sz w:val="28"/>
        </w:rPr>
        <w:t>«Экология»</w:t>
      </w:r>
      <w:r>
        <w:rPr>
          <w:sz w:val="28"/>
          <w:szCs w:val="28"/>
        </w:rPr>
        <w:t xml:space="preserve"> Герасимову Дмитрию Михайловичу:</w:t>
      </w:r>
    </w:p>
    <w:p w:rsidR="00C43BB5" w:rsidRDefault="008268E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10.1. Подписать передаточный акт о приемке подлежащего приватизации имущественного комплекса ОГУП «Экология» (далее – передаточный акт).</w:t>
      </w:r>
    </w:p>
    <w:p w:rsidR="00C43BB5" w:rsidRDefault="008268E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10.2. Утверди</w:t>
      </w:r>
      <w:r>
        <w:rPr>
          <w:sz w:val="28"/>
          <w:szCs w:val="28"/>
        </w:rPr>
        <w:t xml:space="preserve">ть отчет о размещении всех акций АО </w:t>
      </w:r>
      <w:r>
        <w:rPr>
          <w:sz w:val="28"/>
        </w:rPr>
        <w:t>«Экология»</w:t>
      </w:r>
      <w:r>
        <w:rPr>
          <w:sz w:val="28"/>
          <w:szCs w:val="28"/>
        </w:rPr>
        <w:t xml:space="preserve"> единственному </w:t>
      </w:r>
      <w:proofErr w:type="gramStart"/>
      <w:r>
        <w:rPr>
          <w:sz w:val="28"/>
          <w:szCs w:val="28"/>
        </w:rPr>
        <w:t>учредителю  –</w:t>
      </w:r>
      <w:proofErr w:type="gramEnd"/>
      <w:r>
        <w:rPr>
          <w:sz w:val="28"/>
          <w:szCs w:val="28"/>
        </w:rPr>
        <w:t xml:space="preserve"> субъекту Российской Федерации – Смоленской области в лице Министерства имущественных и земельных отношений Смоленской области – и направить соответствующие материалы в Отделение Бан</w:t>
      </w:r>
      <w:r>
        <w:rPr>
          <w:sz w:val="28"/>
          <w:szCs w:val="28"/>
        </w:rPr>
        <w:t>ка России по Орловской области.</w:t>
      </w:r>
    </w:p>
    <w:p w:rsidR="00C43BB5" w:rsidRDefault="008268E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Обеспечить передачу документов для ведения реестра владельцев ценных бумаг общества АО ВТБ Регистратор, организовать ведение реестра акционеров АО </w:t>
      </w:r>
      <w:r>
        <w:rPr>
          <w:sz w:val="28"/>
        </w:rPr>
        <w:t>«Экология»</w:t>
      </w:r>
      <w:r>
        <w:rPr>
          <w:sz w:val="28"/>
          <w:szCs w:val="28"/>
        </w:rPr>
        <w:t xml:space="preserve"> (далее – реестр) с указанием Министерства имущественных и зе</w:t>
      </w:r>
      <w:r>
        <w:rPr>
          <w:sz w:val="28"/>
          <w:szCs w:val="28"/>
        </w:rPr>
        <w:t>мельных отношений Смоленской области в качестве единственного владельца всех акций Смоленской области и направить в Министерство имущественных и земельных отношений Смоленской области выписку из реестра.</w:t>
      </w:r>
    </w:p>
    <w:p w:rsidR="00C43BB5" w:rsidRDefault="008268E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10.4. Осуществить юридические действия по государств</w:t>
      </w:r>
      <w:r>
        <w:rPr>
          <w:sz w:val="28"/>
          <w:szCs w:val="28"/>
        </w:rPr>
        <w:t xml:space="preserve">енной регистрации перехода права собственности на имущественный комплекс ОГУП </w:t>
      </w:r>
      <w:r>
        <w:rPr>
          <w:sz w:val="28"/>
        </w:rPr>
        <w:t xml:space="preserve">«Экология» </w:t>
      </w:r>
      <w:r>
        <w:rPr>
          <w:sz w:val="28"/>
          <w:szCs w:val="28"/>
        </w:rPr>
        <w:t xml:space="preserve">к АО </w:t>
      </w:r>
      <w:r>
        <w:rPr>
          <w:sz w:val="28"/>
        </w:rPr>
        <w:t>«Экология»</w:t>
      </w:r>
      <w:r>
        <w:rPr>
          <w:sz w:val="28"/>
          <w:szCs w:val="28"/>
        </w:rPr>
        <w:t xml:space="preserve"> в соответствии с передаточным актом.</w:t>
      </w:r>
    </w:p>
    <w:p w:rsidR="00C43BB5" w:rsidRDefault="008268E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Министерству Смоленской области по внутренней политике  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П.Ю. Мухин) обеспечить в устан</w:t>
      </w:r>
      <w:r>
        <w:rPr>
          <w:sz w:val="28"/>
          <w:szCs w:val="28"/>
        </w:rPr>
        <w:t>овленном порядке опубликование настоящего распоряжения в официальных изданиях.</w:t>
      </w:r>
    </w:p>
    <w:p w:rsidR="00C43BB5" w:rsidRDefault="00C43BB5">
      <w:pPr>
        <w:ind w:firstLine="705"/>
        <w:jc w:val="both"/>
        <w:rPr>
          <w:sz w:val="28"/>
          <w:szCs w:val="28"/>
        </w:rPr>
      </w:pPr>
    </w:p>
    <w:p w:rsidR="00C43BB5" w:rsidRDefault="00C43BB5">
      <w:pPr>
        <w:ind w:firstLine="709"/>
        <w:jc w:val="both"/>
        <w:rPr>
          <w:sz w:val="28"/>
          <w:szCs w:val="28"/>
        </w:rPr>
      </w:pPr>
    </w:p>
    <w:p w:rsidR="00C43BB5" w:rsidRDefault="008268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C43BB5" w:rsidRDefault="008268EF">
      <w:pPr>
        <w:jc w:val="both"/>
        <w:rPr>
          <w:sz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>
        <w:rPr>
          <w:b/>
          <w:sz w:val="28"/>
          <w:szCs w:val="28"/>
        </w:rPr>
        <w:t>В.Н. Анохин</w:t>
      </w:r>
    </w:p>
    <w:sectPr w:rsidR="00C43BB5">
      <w:headerReference w:type="default" r:id="rId7"/>
      <w:footerReference w:type="first" r:id="rId8"/>
      <w:pgSz w:w="11906" w:h="16838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8EF" w:rsidRDefault="008268EF">
      <w:r>
        <w:separator/>
      </w:r>
    </w:p>
  </w:endnote>
  <w:endnote w:type="continuationSeparator" w:id="0">
    <w:p w:rsidR="008268EF" w:rsidRDefault="0082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BB5" w:rsidRDefault="00C43B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8EF" w:rsidRDefault="008268EF">
      <w:r>
        <w:separator/>
      </w:r>
    </w:p>
  </w:footnote>
  <w:footnote w:type="continuationSeparator" w:id="0">
    <w:p w:rsidR="008268EF" w:rsidRDefault="00826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BB5" w:rsidRDefault="008268EF">
    <w:pPr>
      <w:pStyle w:val="af4"/>
      <w:jc w:val="center"/>
    </w:pPr>
    <w:r>
      <w:fldChar w:fldCharType="begin"/>
    </w:r>
    <w:r>
      <w:instrText>PAGE \* MERGEFORMAT</w:instrText>
    </w:r>
    <w:r>
      <w:fldChar w:fldCharType="separate"/>
    </w:r>
    <w:r w:rsidR="00F43C12" w:rsidRPr="00F43C12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  <w:p w:rsidR="00C43BB5" w:rsidRDefault="00C43BB5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B5"/>
    <w:rsid w:val="00307208"/>
    <w:rsid w:val="008268EF"/>
    <w:rsid w:val="00C43BB5"/>
    <w:rsid w:val="00F4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BE00E-B1E5-40B5-A7A3-BA5916F1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sz w:val="20"/>
      <w:szCs w:val="20"/>
    </w:rPr>
  </w:style>
  <w:style w:type="character" w:styleId="af6">
    <w:name w:val="page number"/>
    <w:basedOn w:val="a0"/>
    <w:uiPriority w:val="99"/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sz w:val="20"/>
      <w:szCs w:val="20"/>
    </w:rPr>
  </w:style>
  <w:style w:type="table" w:styleId="af9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  <w:sz w:val="20"/>
      <w:szCs w:val="20"/>
    </w:rPr>
  </w:style>
  <w:style w:type="paragraph" w:styleId="afd">
    <w:name w:val="Body Text Indent"/>
    <w:basedOn w:val="a"/>
    <w:link w:val="afe"/>
    <w:semiHidden/>
    <w:unhideWhenUsed/>
    <w:pPr>
      <w:ind w:firstLine="851"/>
      <w:jc w:val="both"/>
    </w:pPr>
    <w:rPr>
      <w:sz w:val="28"/>
    </w:rPr>
  </w:style>
  <w:style w:type="character" w:customStyle="1" w:styleId="afe">
    <w:name w:val="Основной текст с отступом Знак"/>
    <w:basedOn w:val="a0"/>
    <w:link w:val="afd"/>
    <w:semiHidden/>
    <w:rPr>
      <w:sz w:val="28"/>
      <w:szCs w:val="20"/>
    </w:rPr>
  </w:style>
  <w:style w:type="paragraph" w:customStyle="1" w:styleId="ConsTitle">
    <w:name w:val="Con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hAnsi="Arial"/>
      <w:b/>
      <w:sz w:val="16"/>
      <w:szCs w:val="20"/>
    </w:rPr>
  </w:style>
  <w:style w:type="paragraph" w:customStyle="1" w:styleId="211">
    <w:name w:val="Основной текст с отступом 2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540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143</cp:revision>
  <dcterms:created xsi:type="dcterms:W3CDTF">2023-10-12T09:30:00Z</dcterms:created>
  <dcterms:modified xsi:type="dcterms:W3CDTF">2025-12-30T13:55:00Z</dcterms:modified>
</cp:coreProperties>
</file>