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FF5BA6" w:rsidRPr="00097525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FF5BA6" w:rsidRDefault="00FF5BA6" w:rsidP="00FF5BA6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FF5BA6" w:rsidRPr="002B3B2B" w:rsidRDefault="00FF5BA6" w:rsidP="00FF5BA6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FF5BA6" w:rsidRDefault="00FF5BA6" w:rsidP="00FF5BA6">
      <w:pPr>
        <w:rPr>
          <w:color w:val="000000"/>
          <w:sz w:val="28"/>
          <w:szCs w:val="28"/>
        </w:rPr>
      </w:pPr>
    </w:p>
    <w:p w:rsidR="00DB1217" w:rsidRPr="00F45D22" w:rsidRDefault="00BE60A8" w:rsidP="00DB1217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F6545B">
        <w:rPr>
          <w:color w:val="000099"/>
          <w:sz w:val="28"/>
          <w:szCs w:val="28"/>
        </w:rPr>
        <w:t>30</w:t>
      </w:r>
      <w:r w:rsidR="007A5D8A">
        <w:rPr>
          <w:color w:val="000099"/>
          <w:sz w:val="28"/>
          <w:szCs w:val="28"/>
        </w:rPr>
        <w:t>.</w:t>
      </w:r>
      <w:r w:rsidR="007A5D8A" w:rsidRPr="007A5D8A">
        <w:rPr>
          <w:color w:val="000099"/>
          <w:sz w:val="28"/>
          <w:szCs w:val="28"/>
        </w:rPr>
        <w:t>09</w:t>
      </w:r>
      <w:r w:rsidR="007A5D8A">
        <w:rPr>
          <w:color w:val="000099"/>
          <w:sz w:val="28"/>
          <w:szCs w:val="28"/>
        </w:rPr>
        <w:t>.</w:t>
      </w:r>
      <w:r w:rsidR="007A5D8A" w:rsidRPr="007A5D8A">
        <w:rPr>
          <w:color w:val="000099"/>
          <w:sz w:val="28"/>
          <w:szCs w:val="28"/>
        </w:rPr>
        <w:t>2024</w:t>
      </w:r>
      <w:r w:rsidRPr="00F45D22">
        <w:rPr>
          <w:color w:val="000099"/>
          <w:sz w:val="28"/>
          <w:szCs w:val="28"/>
        </w:rPr>
        <w:t xml:space="preserve"> № </w:t>
      </w:r>
      <w:r w:rsidR="00780F60">
        <w:rPr>
          <w:color w:val="000099"/>
          <w:sz w:val="28"/>
          <w:szCs w:val="28"/>
        </w:rPr>
        <w:t>83</w:t>
      </w:r>
      <w:bookmarkStart w:id="0" w:name="_GoBack"/>
      <w:bookmarkEnd w:id="0"/>
    </w:p>
    <w:p w:rsidR="00FF5BA6" w:rsidRPr="00691796" w:rsidRDefault="00FF5BA6" w:rsidP="00FF5BA6">
      <w:pPr>
        <w:pStyle w:val="a6"/>
        <w:ind w:firstLine="0"/>
        <w:rPr>
          <w:sz w:val="24"/>
          <w:szCs w:val="28"/>
        </w:rPr>
      </w:pPr>
    </w:p>
    <w:p w:rsidR="00B0198E" w:rsidRPr="00937F02" w:rsidRDefault="00B0198E" w:rsidP="00937F02">
      <w:pPr>
        <w:spacing w:line="228" w:lineRule="auto"/>
        <w:ind w:right="5946"/>
        <w:jc w:val="both"/>
        <w:rPr>
          <w:bCs/>
          <w:sz w:val="27"/>
          <w:szCs w:val="27"/>
        </w:rPr>
      </w:pPr>
      <w:r w:rsidRPr="00937F02">
        <w:rPr>
          <w:sz w:val="27"/>
          <w:szCs w:val="27"/>
        </w:rPr>
        <w:t xml:space="preserve">Об утверждении нормативов создания запасов резервного топлива для </w:t>
      </w:r>
      <w:r w:rsidR="00D23FC8" w:rsidRPr="00937F02">
        <w:rPr>
          <w:bCs/>
          <w:sz w:val="27"/>
          <w:szCs w:val="27"/>
        </w:rPr>
        <w:t>филиала АО «</w:t>
      </w:r>
      <w:proofErr w:type="spellStart"/>
      <w:r w:rsidR="00D23FC8" w:rsidRPr="00937F02">
        <w:rPr>
          <w:bCs/>
          <w:sz w:val="27"/>
          <w:szCs w:val="27"/>
        </w:rPr>
        <w:t>Квадра</w:t>
      </w:r>
      <w:proofErr w:type="spellEnd"/>
      <w:r w:rsidR="00D23FC8" w:rsidRPr="00937F02">
        <w:rPr>
          <w:bCs/>
          <w:sz w:val="27"/>
          <w:szCs w:val="27"/>
        </w:rPr>
        <w:t xml:space="preserve">» </w:t>
      </w:r>
      <w:r w:rsidR="00564F8C" w:rsidRPr="00937F02">
        <w:rPr>
          <w:sz w:val="27"/>
          <w:szCs w:val="27"/>
        </w:rPr>
        <w:t>–</w:t>
      </w:r>
      <w:r w:rsidRPr="00937F02">
        <w:rPr>
          <w:bCs/>
          <w:sz w:val="27"/>
          <w:szCs w:val="27"/>
        </w:rPr>
        <w:t xml:space="preserve"> «Смоленская генерация» </w:t>
      </w:r>
      <w:r w:rsidR="00937F02" w:rsidRPr="00937F02">
        <w:rPr>
          <w:bCs/>
          <w:sz w:val="27"/>
          <w:szCs w:val="27"/>
        </w:rPr>
        <w:t xml:space="preserve">                      </w:t>
      </w:r>
      <w:r w:rsidRPr="00937F02">
        <w:rPr>
          <w:bCs/>
          <w:sz w:val="27"/>
          <w:szCs w:val="27"/>
        </w:rPr>
        <w:t>по котельному</w:t>
      </w:r>
      <w:r w:rsidR="00D23FC8" w:rsidRPr="00937F02">
        <w:rPr>
          <w:bCs/>
          <w:sz w:val="27"/>
          <w:szCs w:val="27"/>
        </w:rPr>
        <w:t xml:space="preserve"> </w:t>
      </w:r>
      <w:r w:rsidRPr="00937F02">
        <w:rPr>
          <w:bCs/>
          <w:sz w:val="27"/>
          <w:szCs w:val="27"/>
        </w:rPr>
        <w:t>цеху производственного подразделения «Смоленская ТЭЦ-2»</w:t>
      </w:r>
    </w:p>
    <w:p w:rsidR="00D636C4" w:rsidRPr="00937F02" w:rsidRDefault="00D636C4" w:rsidP="00F82CB7">
      <w:pPr>
        <w:pStyle w:val="a6"/>
        <w:ind w:firstLine="709"/>
        <w:rPr>
          <w:sz w:val="24"/>
          <w:szCs w:val="24"/>
        </w:rPr>
      </w:pPr>
    </w:p>
    <w:p w:rsidR="0018270A" w:rsidRPr="00937F02" w:rsidRDefault="0018270A" w:rsidP="00B93CDC">
      <w:pPr>
        <w:pStyle w:val="a6"/>
        <w:spacing w:line="200" w:lineRule="exact"/>
        <w:ind w:firstLine="709"/>
        <w:rPr>
          <w:sz w:val="24"/>
          <w:szCs w:val="24"/>
        </w:rPr>
      </w:pPr>
    </w:p>
    <w:p w:rsidR="00B0198E" w:rsidRPr="00937F02" w:rsidRDefault="008D63CE" w:rsidP="008D63CE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</w:t>
      </w:r>
      <w:r w:rsidR="00B0198E" w:rsidRPr="00937F02">
        <w:rPr>
          <w:sz w:val="27"/>
          <w:szCs w:val="27"/>
        </w:rPr>
        <w:t>с Фед</w:t>
      </w:r>
      <w:r>
        <w:rPr>
          <w:sz w:val="27"/>
          <w:szCs w:val="27"/>
        </w:rPr>
        <w:t xml:space="preserve">еральным законом от 27.07.2010                                              </w:t>
      </w:r>
      <w:r w:rsidR="00B0198E" w:rsidRPr="00937F02">
        <w:rPr>
          <w:sz w:val="27"/>
          <w:szCs w:val="27"/>
        </w:rPr>
        <w:t>№ 190-ФЗ «О теплоснабжении», приказом Минэнерго России от 10.08.2012 № 377 </w:t>
      </w:r>
      <w:r>
        <w:rPr>
          <w:sz w:val="27"/>
          <w:szCs w:val="27"/>
        </w:rPr>
        <w:t xml:space="preserve">               </w:t>
      </w:r>
      <w:r w:rsidR="00B0198E" w:rsidRPr="00937F02">
        <w:rPr>
          <w:sz w:val="27"/>
          <w:szCs w:val="27"/>
        </w:rPr>
        <w:t xml:space="preserve">«О порядке определения нормативов технологических потерь при передаче тепловой энергии, теплоносителя, нормативов удельного расхода топлива при производстве тепловой энергии, нормативов запасов топлива на источниках тепловой энергии </w:t>
      </w:r>
      <w:r>
        <w:rPr>
          <w:sz w:val="27"/>
          <w:szCs w:val="27"/>
        </w:rPr>
        <w:t xml:space="preserve">                   </w:t>
      </w:r>
      <w:r w:rsidR="00B0198E" w:rsidRPr="00937F02">
        <w:rPr>
          <w:sz w:val="27"/>
          <w:szCs w:val="27"/>
        </w:rPr>
        <w:t>(за исключением источников тепловой энергии, функционирующих в режиме комбинированной выработки электрической и тепловой энергии), в том числе в</w:t>
      </w:r>
      <w:proofErr w:type="gramEnd"/>
      <w:r w:rsidR="00B0198E" w:rsidRPr="00937F02">
        <w:rPr>
          <w:sz w:val="27"/>
          <w:szCs w:val="27"/>
        </w:rPr>
        <w:t xml:space="preserve"> </w:t>
      </w:r>
      <w:proofErr w:type="gramStart"/>
      <w:r w:rsidR="00B0198E" w:rsidRPr="00937F02">
        <w:rPr>
          <w:sz w:val="27"/>
          <w:szCs w:val="27"/>
        </w:rPr>
        <w:t>целях государственного регулирования цен (тарифов) в сфере теплоснабжения», 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</w:t>
      </w:r>
      <w:r>
        <w:rPr>
          <w:sz w:val="27"/>
          <w:szCs w:val="27"/>
        </w:rPr>
        <w:t xml:space="preserve">моленской области от 10.10.2023 </w:t>
      </w:r>
      <w:r w:rsidR="00B0198E" w:rsidRPr="00937F02">
        <w:rPr>
          <w:sz w:val="27"/>
          <w:szCs w:val="27"/>
        </w:rPr>
        <w:t xml:space="preserve">№ 22, на основании обращения </w:t>
      </w:r>
      <w:r w:rsidR="00B0198E" w:rsidRPr="00937F02">
        <w:rPr>
          <w:bCs/>
          <w:sz w:val="27"/>
          <w:szCs w:val="27"/>
        </w:rPr>
        <w:t>филиала АО «</w:t>
      </w:r>
      <w:proofErr w:type="spellStart"/>
      <w:r w:rsidR="00B0198E" w:rsidRPr="00937F02">
        <w:rPr>
          <w:bCs/>
          <w:sz w:val="27"/>
          <w:szCs w:val="27"/>
        </w:rPr>
        <w:t>Квадра</w:t>
      </w:r>
      <w:proofErr w:type="spellEnd"/>
      <w:r w:rsidR="00B0198E" w:rsidRPr="00937F02">
        <w:rPr>
          <w:bCs/>
          <w:sz w:val="27"/>
          <w:szCs w:val="27"/>
        </w:rPr>
        <w:t xml:space="preserve">» </w:t>
      </w:r>
      <w:r w:rsidR="00476206" w:rsidRPr="00937F02">
        <w:rPr>
          <w:bCs/>
          <w:sz w:val="27"/>
          <w:szCs w:val="27"/>
        </w:rPr>
        <w:t>–</w:t>
      </w:r>
      <w:r w:rsidR="00B0198E" w:rsidRPr="00937F02">
        <w:rPr>
          <w:bCs/>
          <w:sz w:val="27"/>
          <w:szCs w:val="27"/>
        </w:rPr>
        <w:t xml:space="preserve"> «Смоленская генерация»</w:t>
      </w:r>
      <w:r w:rsidR="00B0198E" w:rsidRPr="00937F02">
        <w:rPr>
          <w:sz w:val="27"/>
          <w:szCs w:val="27"/>
        </w:rPr>
        <w:t xml:space="preserve">, заключения Экспертного совета Министерства жилищно-коммунального хозяйства, энергетики и тарифной политики Смоленской области </w:t>
      </w:r>
      <w:r>
        <w:rPr>
          <w:sz w:val="27"/>
          <w:szCs w:val="27"/>
        </w:rPr>
        <w:t xml:space="preserve">                  </w:t>
      </w:r>
      <w:r w:rsidR="00B0198E" w:rsidRPr="00937F02">
        <w:rPr>
          <w:sz w:val="27"/>
          <w:szCs w:val="27"/>
        </w:rPr>
        <w:t>от 2</w:t>
      </w:r>
      <w:r w:rsidR="00666455" w:rsidRPr="00937F02">
        <w:rPr>
          <w:sz w:val="27"/>
          <w:szCs w:val="27"/>
        </w:rPr>
        <w:t>7</w:t>
      </w:r>
      <w:r w:rsidR="00B0198E" w:rsidRPr="00937F02">
        <w:rPr>
          <w:sz w:val="27"/>
          <w:szCs w:val="27"/>
        </w:rPr>
        <w:t>.09.2024 № 179/1</w:t>
      </w:r>
      <w:proofErr w:type="gramEnd"/>
    </w:p>
    <w:p w:rsidR="00B0198E" w:rsidRPr="00937F02" w:rsidRDefault="00B0198E" w:rsidP="00B93CDC">
      <w:pPr>
        <w:spacing w:line="200" w:lineRule="exact"/>
        <w:ind w:firstLine="851"/>
        <w:jc w:val="both"/>
      </w:pPr>
    </w:p>
    <w:p w:rsidR="00564F8C" w:rsidRPr="00937F02" w:rsidRDefault="00703DEF" w:rsidP="00564F8C">
      <w:pPr>
        <w:pStyle w:val="a6"/>
        <w:ind w:firstLine="709"/>
        <w:rPr>
          <w:sz w:val="27"/>
          <w:szCs w:val="27"/>
        </w:rPr>
      </w:pPr>
      <w:r w:rsidRPr="00937F02">
        <w:rPr>
          <w:sz w:val="27"/>
          <w:szCs w:val="27"/>
        </w:rPr>
        <w:t xml:space="preserve">Министерство жилищно-коммунального хозяйства, энергетики и тарифной политики Смоленской области  </w:t>
      </w:r>
      <w:proofErr w:type="gramStart"/>
      <w:r w:rsidR="00513380" w:rsidRPr="00937F02">
        <w:rPr>
          <w:sz w:val="27"/>
          <w:szCs w:val="27"/>
        </w:rPr>
        <w:t>п</w:t>
      </w:r>
      <w:proofErr w:type="gramEnd"/>
      <w:r w:rsidR="00513380" w:rsidRPr="00937F02">
        <w:rPr>
          <w:sz w:val="27"/>
          <w:szCs w:val="27"/>
        </w:rPr>
        <w:t xml:space="preserve"> о с т а н о в л я е т:</w:t>
      </w:r>
      <w:r w:rsidR="00564F8C" w:rsidRPr="00937F02">
        <w:rPr>
          <w:sz w:val="27"/>
          <w:szCs w:val="27"/>
        </w:rPr>
        <w:t xml:space="preserve"> </w:t>
      </w:r>
    </w:p>
    <w:p w:rsidR="00D636C4" w:rsidRPr="00937F02" w:rsidRDefault="00D636C4" w:rsidP="00B93CDC">
      <w:pPr>
        <w:pStyle w:val="a6"/>
        <w:spacing w:line="200" w:lineRule="exact"/>
        <w:ind w:firstLine="709"/>
        <w:rPr>
          <w:sz w:val="24"/>
          <w:szCs w:val="24"/>
        </w:rPr>
      </w:pPr>
    </w:p>
    <w:p w:rsidR="00B0198E" w:rsidRPr="00937F02" w:rsidRDefault="00B0198E" w:rsidP="008D63CE">
      <w:pPr>
        <w:spacing w:line="228" w:lineRule="auto"/>
        <w:ind w:firstLine="709"/>
        <w:jc w:val="both"/>
        <w:rPr>
          <w:sz w:val="27"/>
          <w:szCs w:val="27"/>
        </w:rPr>
      </w:pPr>
      <w:r w:rsidRPr="00937F02">
        <w:rPr>
          <w:sz w:val="27"/>
          <w:szCs w:val="27"/>
        </w:rPr>
        <w:t xml:space="preserve">Утвердить для </w:t>
      </w:r>
      <w:r w:rsidRPr="00937F02">
        <w:rPr>
          <w:bCs/>
          <w:sz w:val="27"/>
          <w:szCs w:val="27"/>
        </w:rPr>
        <w:t>филиала АО «</w:t>
      </w:r>
      <w:proofErr w:type="spellStart"/>
      <w:r w:rsidRPr="00937F02">
        <w:rPr>
          <w:bCs/>
          <w:sz w:val="27"/>
          <w:szCs w:val="27"/>
        </w:rPr>
        <w:t>Квадра</w:t>
      </w:r>
      <w:proofErr w:type="spellEnd"/>
      <w:r w:rsidRPr="00937F02">
        <w:rPr>
          <w:bCs/>
          <w:sz w:val="27"/>
          <w:szCs w:val="27"/>
        </w:rPr>
        <w:t xml:space="preserve">» </w:t>
      </w:r>
      <w:r w:rsidR="00476206" w:rsidRPr="00937F02">
        <w:rPr>
          <w:bCs/>
          <w:sz w:val="27"/>
          <w:szCs w:val="27"/>
        </w:rPr>
        <w:t>–</w:t>
      </w:r>
      <w:r w:rsidRPr="00937F02">
        <w:rPr>
          <w:bCs/>
          <w:sz w:val="27"/>
          <w:szCs w:val="27"/>
        </w:rPr>
        <w:t xml:space="preserve"> «Смоленская генерация» по котельному цеху производственного подразделения «Смоленская ТЭЦ-2» </w:t>
      </w:r>
      <w:r w:rsidRPr="00937F02">
        <w:rPr>
          <w:sz w:val="27"/>
          <w:szCs w:val="27"/>
        </w:rPr>
        <w:t xml:space="preserve">нормативы запасов топлива на </w:t>
      </w:r>
      <w:r w:rsidRPr="00937F02">
        <w:rPr>
          <w:color w:val="000000"/>
          <w:sz w:val="27"/>
          <w:szCs w:val="27"/>
        </w:rPr>
        <w:t>1 октября 2025 г</w:t>
      </w:r>
      <w:r w:rsidRPr="00937F02">
        <w:rPr>
          <w:sz w:val="27"/>
          <w:szCs w:val="27"/>
        </w:rPr>
        <w:t>. согласно таблице:</w:t>
      </w:r>
    </w:p>
    <w:p w:rsidR="00B0198E" w:rsidRPr="00937F02" w:rsidRDefault="00B0198E" w:rsidP="004168F0">
      <w:pPr>
        <w:spacing w:before="120" w:line="228" w:lineRule="auto"/>
        <w:jc w:val="right"/>
        <w:rPr>
          <w:sz w:val="27"/>
          <w:szCs w:val="27"/>
        </w:rPr>
      </w:pPr>
      <w:r w:rsidRPr="00937F02">
        <w:rPr>
          <w:sz w:val="27"/>
          <w:szCs w:val="27"/>
        </w:rPr>
        <w:t>Таблица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665"/>
        <w:gridCol w:w="2643"/>
        <w:gridCol w:w="2180"/>
        <w:gridCol w:w="2647"/>
      </w:tblGrid>
      <w:tr w:rsidR="00B0198E" w:rsidRPr="00937F02" w:rsidTr="00D23FC8">
        <w:trPr>
          <w:trHeight w:val="16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Вид топлива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Норматив общего запаса топлива (ОНЗТ)</w:t>
            </w:r>
          </w:p>
        </w:tc>
        <w:tc>
          <w:tcPr>
            <w:tcW w:w="0" w:type="auto"/>
            <w:gridSpan w:val="2"/>
            <w:vAlign w:val="center"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В том числе</w:t>
            </w:r>
          </w:p>
        </w:tc>
      </w:tr>
      <w:tr w:rsidR="00B0198E" w:rsidRPr="00937F02" w:rsidTr="00D23FC8">
        <w:trPr>
          <w:trHeight w:val="501"/>
        </w:trPr>
        <w:tc>
          <w:tcPr>
            <w:tcW w:w="0" w:type="auto"/>
            <w:vMerge/>
            <w:vAlign w:val="center"/>
            <w:hideMark/>
          </w:tcPr>
          <w:p w:rsidR="00B0198E" w:rsidRPr="00937F02" w:rsidRDefault="00B0198E" w:rsidP="00B019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198E" w:rsidRPr="00937F02" w:rsidRDefault="00B0198E" w:rsidP="00B019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неснижаемый запас (ННЗТ)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эксплуатационный запас (НЭЗТ)</w:t>
            </w:r>
          </w:p>
        </w:tc>
      </w:tr>
      <w:tr w:rsidR="00B0198E" w:rsidRPr="00937F02" w:rsidTr="00D23FC8">
        <w:trPr>
          <w:trHeight w:val="20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мазут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тыс. тонн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0,258</w:t>
            </w:r>
          </w:p>
        </w:tc>
        <w:tc>
          <w:tcPr>
            <w:tcW w:w="0" w:type="auto"/>
            <w:vAlign w:val="bottom"/>
          </w:tcPr>
          <w:p w:rsidR="00B0198E" w:rsidRPr="00937F02" w:rsidRDefault="00B0198E" w:rsidP="00B0198E">
            <w:pPr>
              <w:jc w:val="center"/>
              <w:rPr>
                <w:sz w:val="22"/>
                <w:szCs w:val="22"/>
              </w:rPr>
            </w:pPr>
            <w:r w:rsidRPr="00937F02">
              <w:rPr>
                <w:sz w:val="22"/>
                <w:szCs w:val="22"/>
              </w:rPr>
              <w:t>0,258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198E" w:rsidRPr="00937F02" w:rsidRDefault="00B0198E" w:rsidP="00B0198E">
            <w:pPr>
              <w:jc w:val="center"/>
              <w:rPr>
                <w:color w:val="000000"/>
                <w:sz w:val="22"/>
                <w:szCs w:val="22"/>
              </w:rPr>
            </w:pPr>
            <w:r w:rsidRPr="00937F02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37F02" w:rsidRPr="004168F0" w:rsidRDefault="00937F02" w:rsidP="00E80987">
      <w:pPr>
        <w:pStyle w:val="1"/>
        <w:jc w:val="both"/>
        <w:outlineLvl w:val="0"/>
        <w:rPr>
          <w:sz w:val="22"/>
          <w:szCs w:val="22"/>
        </w:rPr>
      </w:pPr>
    </w:p>
    <w:p w:rsidR="00937F02" w:rsidRDefault="00937F02" w:rsidP="00E80987">
      <w:pPr>
        <w:pStyle w:val="1"/>
        <w:jc w:val="both"/>
        <w:outlineLvl w:val="0"/>
        <w:rPr>
          <w:sz w:val="22"/>
          <w:szCs w:val="22"/>
        </w:rPr>
      </w:pPr>
    </w:p>
    <w:p w:rsidR="00B93CDC" w:rsidRPr="004168F0" w:rsidRDefault="00B93CDC" w:rsidP="00E80987">
      <w:pPr>
        <w:pStyle w:val="1"/>
        <w:jc w:val="both"/>
        <w:outlineLvl w:val="0"/>
        <w:rPr>
          <w:sz w:val="22"/>
          <w:szCs w:val="22"/>
        </w:rPr>
      </w:pPr>
    </w:p>
    <w:p w:rsidR="001D7B7A" w:rsidRPr="00937F02" w:rsidRDefault="00703DEF" w:rsidP="00E80987">
      <w:pPr>
        <w:pStyle w:val="1"/>
        <w:jc w:val="both"/>
        <w:outlineLvl w:val="0"/>
        <w:rPr>
          <w:sz w:val="27"/>
          <w:szCs w:val="27"/>
        </w:rPr>
      </w:pPr>
      <w:r w:rsidRPr="00937F02">
        <w:rPr>
          <w:sz w:val="27"/>
          <w:szCs w:val="27"/>
        </w:rPr>
        <w:t xml:space="preserve">Министр                                      </w:t>
      </w:r>
      <w:r w:rsidR="00F82CB7" w:rsidRPr="00937F02">
        <w:rPr>
          <w:sz w:val="27"/>
          <w:szCs w:val="27"/>
        </w:rPr>
        <w:t xml:space="preserve">                                           </w:t>
      </w:r>
      <w:r w:rsidR="00C66D44" w:rsidRPr="00937F02">
        <w:rPr>
          <w:sz w:val="27"/>
          <w:szCs w:val="27"/>
        </w:rPr>
        <w:t xml:space="preserve">                     </w:t>
      </w:r>
      <w:r w:rsidR="00213041" w:rsidRPr="00937F02">
        <w:rPr>
          <w:sz w:val="27"/>
          <w:szCs w:val="27"/>
        </w:rPr>
        <w:t xml:space="preserve">     </w:t>
      </w:r>
      <w:r w:rsidR="00513380" w:rsidRPr="00937F02">
        <w:rPr>
          <w:sz w:val="27"/>
          <w:szCs w:val="27"/>
        </w:rPr>
        <w:t>Н.И. Борисов</w:t>
      </w:r>
    </w:p>
    <w:sectPr w:rsidR="001D7B7A" w:rsidRPr="00937F02" w:rsidSect="006F053D">
      <w:headerReference w:type="default" r:id="rId10"/>
      <w:pgSz w:w="11900" w:h="16820" w:code="9"/>
      <w:pgMar w:top="567" w:right="567" w:bottom="851" w:left="1134" w:header="567" w:footer="56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C8" w:rsidRDefault="00D23FC8">
      <w:r>
        <w:separator/>
      </w:r>
    </w:p>
  </w:endnote>
  <w:endnote w:type="continuationSeparator" w:id="0">
    <w:p w:rsidR="00D23FC8" w:rsidRDefault="00D2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C8" w:rsidRDefault="00D23FC8">
      <w:r>
        <w:separator/>
      </w:r>
    </w:p>
  </w:footnote>
  <w:footnote w:type="continuationSeparator" w:id="0">
    <w:p w:rsidR="00D23FC8" w:rsidRDefault="00D2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73749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23FC8" w:rsidRPr="006F053D" w:rsidRDefault="00D23FC8">
        <w:pPr>
          <w:pStyle w:val="a4"/>
          <w:jc w:val="center"/>
          <w:rPr>
            <w:sz w:val="22"/>
          </w:rPr>
        </w:pPr>
        <w:r w:rsidRPr="006F053D">
          <w:rPr>
            <w:sz w:val="22"/>
          </w:rPr>
          <w:fldChar w:fldCharType="begin"/>
        </w:r>
        <w:r w:rsidRPr="006F053D">
          <w:rPr>
            <w:sz w:val="22"/>
          </w:rPr>
          <w:instrText>PAGE   \* MERGEFORMAT</w:instrText>
        </w:r>
        <w:r w:rsidRPr="006F053D">
          <w:rPr>
            <w:sz w:val="22"/>
          </w:rPr>
          <w:fldChar w:fldCharType="separate"/>
        </w:r>
        <w:r w:rsidR="00B93CDC">
          <w:rPr>
            <w:noProof/>
            <w:sz w:val="22"/>
          </w:rPr>
          <w:t>2</w:t>
        </w:r>
        <w:r w:rsidRPr="006F053D">
          <w:rPr>
            <w:sz w:val="22"/>
          </w:rPr>
          <w:fldChar w:fldCharType="end"/>
        </w:r>
      </w:p>
    </w:sdtContent>
  </w:sdt>
  <w:p w:rsidR="00D23FC8" w:rsidRDefault="00D23F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FDF"/>
    <w:multiLevelType w:val="hybridMultilevel"/>
    <w:tmpl w:val="1592D2CA"/>
    <w:lvl w:ilvl="0" w:tplc="2F4CC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C0107B"/>
    <w:multiLevelType w:val="hybridMultilevel"/>
    <w:tmpl w:val="F11C63C4"/>
    <w:lvl w:ilvl="0" w:tplc="C832A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15639C"/>
    <w:multiLevelType w:val="hybridMultilevel"/>
    <w:tmpl w:val="3F46E1E4"/>
    <w:lvl w:ilvl="0" w:tplc="19A0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hdrShapeDefaults>
    <o:shapedefaults v:ext="edit" spidmax="1433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4B0"/>
    <w:rsid w:val="00005724"/>
    <w:rsid w:val="000071B0"/>
    <w:rsid w:val="000115F1"/>
    <w:rsid w:val="00014143"/>
    <w:rsid w:val="0001617D"/>
    <w:rsid w:val="00017F0B"/>
    <w:rsid w:val="00021246"/>
    <w:rsid w:val="000268EB"/>
    <w:rsid w:val="000325AA"/>
    <w:rsid w:val="00032785"/>
    <w:rsid w:val="00047F5F"/>
    <w:rsid w:val="0006162D"/>
    <w:rsid w:val="00061A64"/>
    <w:rsid w:val="000625C4"/>
    <w:rsid w:val="00062BFF"/>
    <w:rsid w:val="000639CA"/>
    <w:rsid w:val="000734CD"/>
    <w:rsid w:val="00074167"/>
    <w:rsid w:val="000759FA"/>
    <w:rsid w:val="00077B5F"/>
    <w:rsid w:val="0008225F"/>
    <w:rsid w:val="00083CF5"/>
    <w:rsid w:val="00085AB8"/>
    <w:rsid w:val="000874E6"/>
    <w:rsid w:val="0009101F"/>
    <w:rsid w:val="000B729E"/>
    <w:rsid w:val="000C3C92"/>
    <w:rsid w:val="000C6668"/>
    <w:rsid w:val="000D5C37"/>
    <w:rsid w:val="000D7A82"/>
    <w:rsid w:val="000E3011"/>
    <w:rsid w:val="000E3C3A"/>
    <w:rsid w:val="000E59D2"/>
    <w:rsid w:val="000F3FE3"/>
    <w:rsid w:val="00100607"/>
    <w:rsid w:val="001017F9"/>
    <w:rsid w:val="0011119B"/>
    <w:rsid w:val="00115967"/>
    <w:rsid w:val="00116C01"/>
    <w:rsid w:val="00116FC4"/>
    <w:rsid w:val="001206F3"/>
    <w:rsid w:val="00120C0A"/>
    <w:rsid w:val="0012236B"/>
    <w:rsid w:val="001229A0"/>
    <w:rsid w:val="00135401"/>
    <w:rsid w:val="00141C0D"/>
    <w:rsid w:val="00141C32"/>
    <w:rsid w:val="00143528"/>
    <w:rsid w:val="001459DA"/>
    <w:rsid w:val="00153A26"/>
    <w:rsid w:val="001602E8"/>
    <w:rsid w:val="001663E1"/>
    <w:rsid w:val="00166F79"/>
    <w:rsid w:val="00167AC4"/>
    <w:rsid w:val="0018270A"/>
    <w:rsid w:val="00186AC6"/>
    <w:rsid w:val="001928D0"/>
    <w:rsid w:val="0019758D"/>
    <w:rsid w:val="001A0EA9"/>
    <w:rsid w:val="001A1321"/>
    <w:rsid w:val="001A1BD8"/>
    <w:rsid w:val="001A4809"/>
    <w:rsid w:val="001A65A1"/>
    <w:rsid w:val="001A6608"/>
    <w:rsid w:val="001B37B1"/>
    <w:rsid w:val="001B597E"/>
    <w:rsid w:val="001C0015"/>
    <w:rsid w:val="001C0282"/>
    <w:rsid w:val="001C0440"/>
    <w:rsid w:val="001C51C0"/>
    <w:rsid w:val="001C571A"/>
    <w:rsid w:val="001D3EEB"/>
    <w:rsid w:val="001D7963"/>
    <w:rsid w:val="001D7B7A"/>
    <w:rsid w:val="001E2B52"/>
    <w:rsid w:val="001E57BA"/>
    <w:rsid w:val="001E738D"/>
    <w:rsid w:val="001F62B1"/>
    <w:rsid w:val="00207FF8"/>
    <w:rsid w:val="002111AE"/>
    <w:rsid w:val="00212A92"/>
    <w:rsid w:val="00213041"/>
    <w:rsid w:val="002133BD"/>
    <w:rsid w:val="002134B0"/>
    <w:rsid w:val="00213A7C"/>
    <w:rsid w:val="00214BF4"/>
    <w:rsid w:val="00223A90"/>
    <w:rsid w:val="00231A21"/>
    <w:rsid w:val="00234785"/>
    <w:rsid w:val="00234B2B"/>
    <w:rsid w:val="002363FE"/>
    <w:rsid w:val="0024753F"/>
    <w:rsid w:val="0025424C"/>
    <w:rsid w:val="00262E09"/>
    <w:rsid w:val="002670BA"/>
    <w:rsid w:val="00272E61"/>
    <w:rsid w:val="00275674"/>
    <w:rsid w:val="00275B3D"/>
    <w:rsid w:val="00277BF1"/>
    <w:rsid w:val="0028477F"/>
    <w:rsid w:val="00294309"/>
    <w:rsid w:val="00297AD1"/>
    <w:rsid w:val="002A1162"/>
    <w:rsid w:val="002A11B6"/>
    <w:rsid w:val="002B0669"/>
    <w:rsid w:val="002B080C"/>
    <w:rsid w:val="002B3F20"/>
    <w:rsid w:val="002C03BE"/>
    <w:rsid w:val="002C27E9"/>
    <w:rsid w:val="002C43A4"/>
    <w:rsid w:val="002C4EE6"/>
    <w:rsid w:val="002C528E"/>
    <w:rsid w:val="002C5CB9"/>
    <w:rsid w:val="002C5DE0"/>
    <w:rsid w:val="002D0227"/>
    <w:rsid w:val="002D4685"/>
    <w:rsid w:val="002E3BDB"/>
    <w:rsid w:val="002E4F10"/>
    <w:rsid w:val="002F6182"/>
    <w:rsid w:val="002F79F3"/>
    <w:rsid w:val="00306467"/>
    <w:rsid w:val="003066DF"/>
    <w:rsid w:val="003206CD"/>
    <w:rsid w:val="00321BD7"/>
    <w:rsid w:val="00323A69"/>
    <w:rsid w:val="003312B6"/>
    <w:rsid w:val="00336BFF"/>
    <w:rsid w:val="00340CE4"/>
    <w:rsid w:val="00345B26"/>
    <w:rsid w:val="00356449"/>
    <w:rsid w:val="00357E88"/>
    <w:rsid w:val="003654E2"/>
    <w:rsid w:val="00376FB6"/>
    <w:rsid w:val="003811FE"/>
    <w:rsid w:val="003847FA"/>
    <w:rsid w:val="00385EE5"/>
    <w:rsid w:val="00392190"/>
    <w:rsid w:val="003A4180"/>
    <w:rsid w:val="003A4BBF"/>
    <w:rsid w:val="003A67AA"/>
    <w:rsid w:val="003B12C2"/>
    <w:rsid w:val="003B1B22"/>
    <w:rsid w:val="003B2D3C"/>
    <w:rsid w:val="003B4E2A"/>
    <w:rsid w:val="003C0069"/>
    <w:rsid w:val="003C019B"/>
    <w:rsid w:val="003C135E"/>
    <w:rsid w:val="003C3BA0"/>
    <w:rsid w:val="003C677E"/>
    <w:rsid w:val="003C77E6"/>
    <w:rsid w:val="003D0192"/>
    <w:rsid w:val="003D5AD8"/>
    <w:rsid w:val="003E06F2"/>
    <w:rsid w:val="003F1192"/>
    <w:rsid w:val="003F43F7"/>
    <w:rsid w:val="003F44CF"/>
    <w:rsid w:val="003F4765"/>
    <w:rsid w:val="0040136E"/>
    <w:rsid w:val="00402D3F"/>
    <w:rsid w:val="0040487B"/>
    <w:rsid w:val="00404ABC"/>
    <w:rsid w:val="004061A3"/>
    <w:rsid w:val="00415FF4"/>
    <w:rsid w:val="004168F0"/>
    <w:rsid w:val="00417BE9"/>
    <w:rsid w:val="00423E16"/>
    <w:rsid w:val="00423F0C"/>
    <w:rsid w:val="00427156"/>
    <w:rsid w:val="00430F7C"/>
    <w:rsid w:val="004313CF"/>
    <w:rsid w:val="004511C6"/>
    <w:rsid w:val="00451310"/>
    <w:rsid w:val="00462753"/>
    <w:rsid w:val="00464439"/>
    <w:rsid w:val="004644AD"/>
    <w:rsid w:val="0047206D"/>
    <w:rsid w:val="00472100"/>
    <w:rsid w:val="00473B9D"/>
    <w:rsid w:val="00476206"/>
    <w:rsid w:val="00477D6C"/>
    <w:rsid w:val="0048166B"/>
    <w:rsid w:val="00482EC9"/>
    <w:rsid w:val="00486B01"/>
    <w:rsid w:val="0049133C"/>
    <w:rsid w:val="004A2969"/>
    <w:rsid w:val="004A3337"/>
    <w:rsid w:val="004B3BBE"/>
    <w:rsid w:val="004B6861"/>
    <w:rsid w:val="004C1B0D"/>
    <w:rsid w:val="004C68E4"/>
    <w:rsid w:val="004D2387"/>
    <w:rsid w:val="004D3B5D"/>
    <w:rsid w:val="004D5C77"/>
    <w:rsid w:val="004E042B"/>
    <w:rsid w:val="004F0771"/>
    <w:rsid w:val="004F077D"/>
    <w:rsid w:val="004F66FB"/>
    <w:rsid w:val="004F6B2A"/>
    <w:rsid w:val="005028DE"/>
    <w:rsid w:val="00510CAD"/>
    <w:rsid w:val="00513380"/>
    <w:rsid w:val="00513D52"/>
    <w:rsid w:val="0051427D"/>
    <w:rsid w:val="00516E69"/>
    <w:rsid w:val="00531385"/>
    <w:rsid w:val="00531EF1"/>
    <w:rsid w:val="005327D7"/>
    <w:rsid w:val="0054307D"/>
    <w:rsid w:val="0054662B"/>
    <w:rsid w:val="005502FC"/>
    <w:rsid w:val="0055344A"/>
    <w:rsid w:val="00554209"/>
    <w:rsid w:val="00554C83"/>
    <w:rsid w:val="00555F3E"/>
    <w:rsid w:val="00560CF4"/>
    <w:rsid w:val="005620F8"/>
    <w:rsid w:val="00564F8C"/>
    <w:rsid w:val="00576C0D"/>
    <w:rsid w:val="00590C53"/>
    <w:rsid w:val="005A1651"/>
    <w:rsid w:val="005A2E49"/>
    <w:rsid w:val="005A3F97"/>
    <w:rsid w:val="005A770B"/>
    <w:rsid w:val="005B05DC"/>
    <w:rsid w:val="005B2B7F"/>
    <w:rsid w:val="005B62C1"/>
    <w:rsid w:val="005C3B01"/>
    <w:rsid w:val="005D06EA"/>
    <w:rsid w:val="005D0D87"/>
    <w:rsid w:val="005E58DB"/>
    <w:rsid w:val="005E6243"/>
    <w:rsid w:val="00600BC9"/>
    <w:rsid w:val="00600FB9"/>
    <w:rsid w:val="006050CD"/>
    <w:rsid w:val="00606B03"/>
    <w:rsid w:val="00606DD7"/>
    <w:rsid w:val="006107F5"/>
    <w:rsid w:val="0061143A"/>
    <w:rsid w:val="006137F6"/>
    <w:rsid w:val="00614997"/>
    <w:rsid w:val="00616D72"/>
    <w:rsid w:val="0061739D"/>
    <w:rsid w:val="0062067D"/>
    <w:rsid w:val="00621DFA"/>
    <w:rsid w:val="00624E35"/>
    <w:rsid w:val="006357FC"/>
    <w:rsid w:val="006366D5"/>
    <w:rsid w:val="006376D0"/>
    <w:rsid w:val="00644484"/>
    <w:rsid w:val="0064466E"/>
    <w:rsid w:val="00645E6C"/>
    <w:rsid w:val="00660A98"/>
    <w:rsid w:val="0066500F"/>
    <w:rsid w:val="00666455"/>
    <w:rsid w:val="00671566"/>
    <w:rsid w:val="00681B80"/>
    <w:rsid w:val="00687ED6"/>
    <w:rsid w:val="00691F50"/>
    <w:rsid w:val="00694D4E"/>
    <w:rsid w:val="00695198"/>
    <w:rsid w:val="00696031"/>
    <w:rsid w:val="006971BD"/>
    <w:rsid w:val="006A09B5"/>
    <w:rsid w:val="006A09BB"/>
    <w:rsid w:val="006A1286"/>
    <w:rsid w:val="006B3AEF"/>
    <w:rsid w:val="006B4A7F"/>
    <w:rsid w:val="006B7CE5"/>
    <w:rsid w:val="006C0367"/>
    <w:rsid w:val="006C1EAB"/>
    <w:rsid w:val="006C691A"/>
    <w:rsid w:val="006C72F1"/>
    <w:rsid w:val="006D2C96"/>
    <w:rsid w:val="006D3A7B"/>
    <w:rsid w:val="006D764C"/>
    <w:rsid w:val="006E62BA"/>
    <w:rsid w:val="006E7238"/>
    <w:rsid w:val="006E7514"/>
    <w:rsid w:val="006E7930"/>
    <w:rsid w:val="006F053D"/>
    <w:rsid w:val="006F476F"/>
    <w:rsid w:val="006F667E"/>
    <w:rsid w:val="00703DEF"/>
    <w:rsid w:val="00705982"/>
    <w:rsid w:val="00705F44"/>
    <w:rsid w:val="00706F64"/>
    <w:rsid w:val="00713403"/>
    <w:rsid w:val="0071500F"/>
    <w:rsid w:val="007176BC"/>
    <w:rsid w:val="00717EE2"/>
    <w:rsid w:val="00721784"/>
    <w:rsid w:val="007243DC"/>
    <w:rsid w:val="007261EB"/>
    <w:rsid w:val="007276EE"/>
    <w:rsid w:val="007314C5"/>
    <w:rsid w:val="0073405F"/>
    <w:rsid w:val="00736251"/>
    <w:rsid w:val="0073637B"/>
    <w:rsid w:val="00741EDA"/>
    <w:rsid w:val="00741F31"/>
    <w:rsid w:val="00742074"/>
    <w:rsid w:val="007437A2"/>
    <w:rsid w:val="00745BF0"/>
    <w:rsid w:val="00745C72"/>
    <w:rsid w:val="00747EA3"/>
    <w:rsid w:val="00754773"/>
    <w:rsid w:val="0075490E"/>
    <w:rsid w:val="00754F9A"/>
    <w:rsid w:val="007561B8"/>
    <w:rsid w:val="00756BC6"/>
    <w:rsid w:val="0076219F"/>
    <w:rsid w:val="00765160"/>
    <w:rsid w:val="0077470E"/>
    <w:rsid w:val="00780368"/>
    <w:rsid w:val="00780F60"/>
    <w:rsid w:val="0078172C"/>
    <w:rsid w:val="00782C72"/>
    <w:rsid w:val="007861A5"/>
    <w:rsid w:val="0079543A"/>
    <w:rsid w:val="007A5742"/>
    <w:rsid w:val="007A5CF0"/>
    <w:rsid w:val="007A5D8A"/>
    <w:rsid w:val="007B1137"/>
    <w:rsid w:val="007B2C9C"/>
    <w:rsid w:val="007B2D64"/>
    <w:rsid w:val="007B3F48"/>
    <w:rsid w:val="007C084D"/>
    <w:rsid w:val="007D3917"/>
    <w:rsid w:val="007F02DF"/>
    <w:rsid w:val="007F3102"/>
    <w:rsid w:val="00800956"/>
    <w:rsid w:val="00800A84"/>
    <w:rsid w:val="008049FF"/>
    <w:rsid w:val="00804BAF"/>
    <w:rsid w:val="00810538"/>
    <w:rsid w:val="0081085A"/>
    <w:rsid w:val="00810A1B"/>
    <w:rsid w:val="008161D8"/>
    <w:rsid w:val="00820C10"/>
    <w:rsid w:val="008219CC"/>
    <w:rsid w:val="008228D7"/>
    <w:rsid w:val="00822DE2"/>
    <w:rsid w:val="008248E8"/>
    <w:rsid w:val="00824D7C"/>
    <w:rsid w:val="008267EC"/>
    <w:rsid w:val="00830971"/>
    <w:rsid w:val="00832C49"/>
    <w:rsid w:val="00835612"/>
    <w:rsid w:val="00835875"/>
    <w:rsid w:val="00835AA5"/>
    <w:rsid w:val="008441F6"/>
    <w:rsid w:val="0086062D"/>
    <w:rsid w:val="00870FC6"/>
    <w:rsid w:val="00880F81"/>
    <w:rsid w:val="008846D8"/>
    <w:rsid w:val="0088750B"/>
    <w:rsid w:val="00887A36"/>
    <w:rsid w:val="00890244"/>
    <w:rsid w:val="00890475"/>
    <w:rsid w:val="0089202B"/>
    <w:rsid w:val="00892D74"/>
    <w:rsid w:val="008933D5"/>
    <w:rsid w:val="008944F7"/>
    <w:rsid w:val="00894703"/>
    <w:rsid w:val="008B4724"/>
    <w:rsid w:val="008C0FEF"/>
    <w:rsid w:val="008C25B9"/>
    <w:rsid w:val="008C7FEF"/>
    <w:rsid w:val="008D075F"/>
    <w:rsid w:val="008D0CB1"/>
    <w:rsid w:val="008D1601"/>
    <w:rsid w:val="008D511E"/>
    <w:rsid w:val="008D63CE"/>
    <w:rsid w:val="008D6920"/>
    <w:rsid w:val="008D783D"/>
    <w:rsid w:val="008E4D85"/>
    <w:rsid w:val="008F183B"/>
    <w:rsid w:val="008F22EB"/>
    <w:rsid w:val="008F30C6"/>
    <w:rsid w:val="008F3772"/>
    <w:rsid w:val="008F4C3B"/>
    <w:rsid w:val="008F54DA"/>
    <w:rsid w:val="009030A7"/>
    <w:rsid w:val="00903880"/>
    <w:rsid w:val="00904C68"/>
    <w:rsid w:val="00904D3D"/>
    <w:rsid w:val="00905ACF"/>
    <w:rsid w:val="00910027"/>
    <w:rsid w:val="00912123"/>
    <w:rsid w:val="00913D5A"/>
    <w:rsid w:val="00913F23"/>
    <w:rsid w:val="00914440"/>
    <w:rsid w:val="0092215C"/>
    <w:rsid w:val="00927A8A"/>
    <w:rsid w:val="00930160"/>
    <w:rsid w:val="00930C59"/>
    <w:rsid w:val="00937F02"/>
    <w:rsid w:val="00942DE6"/>
    <w:rsid w:val="00945113"/>
    <w:rsid w:val="0094688C"/>
    <w:rsid w:val="00947388"/>
    <w:rsid w:val="009549A2"/>
    <w:rsid w:val="009558EA"/>
    <w:rsid w:val="00962A33"/>
    <w:rsid w:val="00971052"/>
    <w:rsid w:val="00973B97"/>
    <w:rsid w:val="00975BE9"/>
    <w:rsid w:val="00977AAA"/>
    <w:rsid w:val="009862F4"/>
    <w:rsid w:val="00987722"/>
    <w:rsid w:val="0099197C"/>
    <w:rsid w:val="009A0911"/>
    <w:rsid w:val="009A323A"/>
    <w:rsid w:val="009B1617"/>
    <w:rsid w:val="009B3732"/>
    <w:rsid w:val="009B3751"/>
    <w:rsid w:val="009C0902"/>
    <w:rsid w:val="009C3C41"/>
    <w:rsid w:val="009D0765"/>
    <w:rsid w:val="009D3983"/>
    <w:rsid w:val="009D7F4B"/>
    <w:rsid w:val="009E41D2"/>
    <w:rsid w:val="009E59E6"/>
    <w:rsid w:val="009E781A"/>
    <w:rsid w:val="009E7C64"/>
    <w:rsid w:val="009F17EF"/>
    <w:rsid w:val="009F22B5"/>
    <w:rsid w:val="009F4F7F"/>
    <w:rsid w:val="009F5273"/>
    <w:rsid w:val="009F5D73"/>
    <w:rsid w:val="00A00070"/>
    <w:rsid w:val="00A022F1"/>
    <w:rsid w:val="00A036A6"/>
    <w:rsid w:val="00A062A3"/>
    <w:rsid w:val="00A21E32"/>
    <w:rsid w:val="00A22D80"/>
    <w:rsid w:val="00A24E90"/>
    <w:rsid w:val="00A36A8A"/>
    <w:rsid w:val="00A42B3C"/>
    <w:rsid w:val="00A55D3E"/>
    <w:rsid w:val="00A62955"/>
    <w:rsid w:val="00A64E37"/>
    <w:rsid w:val="00A676B3"/>
    <w:rsid w:val="00A70CAC"/>
    <w:rsid w:val="00A76B92"/>
    <w:rsid w:val="00A81B95"/>
    <w:rsid w:val="00A902AF"/>
    <w:rsid w:val="00A9414E"/>
    <w:rsid w:val="00A9453A"/>
    <w:rsid w:val="00A95B58"/>
    <w:rsid w:val="00A97884"/>
    <w:rsid w:val="00AA180A"/>
    <w:rsid w:val="00AA5287"/>
    <w:rsid w:val="00AA705C"/>
    <w:rsid w:val="00AA74BA"/>
    <w:rsid w:val="00AB496C"/>
    <w:rsid w:val="00AC04FD"/>
    <w:rsid w:val="00AC06F6"/>
    <w:rsid w:val="00AC1D7E"/>
    <w:rsid w:val="00AC39CD"/>
    <w:rsid w:val="00AD33BC"/>
    <w:rsid w:val="00AD583F"/>
    <w:rsid w:val="00AD59EF"/>
    <w:rsid w:val="00AE5FE4"/>
    <w:rsid w:val="00AF2470"/>
    <w:rsid w:val="00AF5B48"/>
    <w:rsid w:val="00AF7CE4"/>
    <w:rsid w:val="00B012E6"/>
    <w:rsid w:val="00B0198E"/>
    <w:rsid w:val="00B11724"/>
    <w:rsid w:val="00B12EC4"/>
    <w:rsid w:val="00B136C8"/>
    <w:rsid w:val="00B13FEE"/>
    <w:rsid w:val="00B21975"/>
    <w:rsid w:val="00B3254C"/>
    <w:rsid w:val="00B35128"/>
    <w:rsid w:val="00B36E47"/>
    <w:rsid w:val="00B44663"/>
    <w:rsid w:val="00B45C9D"/>
    <w:rsid w:val="00B47207"/>
    <w:rsid w:val="00B50D94"/>
    <w:rsid w:val="00B526F1"/>
    <w:rsid w:val="00B5374C"/>
    <w:rsid w:val="00B728D7"/>
    <w:rsid w:val="00B7403A"/>
    <w:rsid w:val="00B74A0D"/>
    <w:rsid w:val="00B83C28"/>
    <w:rsid w:val="00B916BF"/>
    <w:rsid w:val="00B932FE"/>
    <w:rsid w:val="00B93CDC"/>
    <w:rsid w:val="00B97DB8"/>
    <w:rsid w:val="00BA09AE"/>
    <w:rsid w:val="00BA182F"/>
    <w:rsid w:val="00BA2A05"/>
    <w:rsid w:val="00BA2FB3"/>
    <w:rsid w:val="00BA4464"/>
    <w:rsid w:val="00BA456D"/>
    <w:rsid w:val="00BA5DA8"/>
    <w:rsid w:val="00BB077E"/>
    <w:rsid w:val="00BB7BD8"/>
    <w:rsid w:val="00BC53E6"/>
    <w:rsid w:val="00BC5870"/>
    <w:rsid w:val="00BC70FB"/>
    <w:rsid w:val="00BD1976"/>
    <w:rsid w:val="00BD29FC"/>
    <w:rsid w:val="00BD45C6"/>
    <w:rsid w:val="00BD4FC4"/>
    <w:rsid w:val="00BD5818"/>
    <w:rsid w:val="00BD7F6B"/>
    <w:rsid w:val="00BE19A2"/>
    <w:rsid w:val="00BE1F75"/>
    <w:rsid w:val="00BE60A8"/>
    <w:rsid w:val="00BE6F93"/>
    <w:rsid w:val="00BE7FC0"/>
    <w:rsid w:val="00BF337E"/>
    <w:rsid w:val="00C008BB"/>
    <w:rsid w:val="00C0217E"/>
    <w:rsid w:val="00C03656"/>
    <w:rsid w:val="00C1283C"/>
    <w:rsid w:val="00C1319A"/>
    <w:rsid w:val="00C25BF2"/>
    <w:rsid w:val="00C31616"/>
    <w:rsid w:val="00C31ED2"/>
    <w:rsid w:val="00C332D6"/>
    <w:rsid w:val="00C37263"/>
    <w:rsid w:val="00C400B7"/>
    <w:rsid w:val="00C43398"/>
    <w:rsid w:val="00C44D87"/>
    <w:rsid w:val="00C55ACE"/>
    <w:rsid w:val="00C622D5"/>
    <w:rsid w:val="00C65CAF"/>
    <w:rsid w:val="00C66190"/>
    <w:rsid w:val="00C66D44"/>
    <w:rsid w:val="00C7011E"/>
    <w:rsid w:val="00C76100"/>
    <w:rsid w:val="00C85D57"/>
    <w:rsid w:val="00C87061"/>
    <w:rsid w:val="00C91F31"/>
    <w:rsid w:val="00C9214E"/>
    <w:rsid w:val="00C93C0B"/>
    <w:rsid w:val="00C95655"/>
    <w:rsid w:val="00CA51C8"/>
    <w:rsid w:val="00CA698C"/>
    <w:rsid w:val="00CB1CA3"/>
    <w:rsid w:val="00CB39C0"/>
    <w:rsid w:val="00CB46AB"/>
    <w:rsid w:val="00CB50D2"/>
    <w:rsid w:val="00CC2019"/>
    <w:rsid w:val="00CC5566"/>
    <w:rsid w:val="00CC7D37"/>
    <w:rsid w:val="00CD29C4"/>
    <w:rsid w:val="00CD2DC2"/>
    <w:rsid w:val="00CD4B6E"/>
    <w:rsid w:val="00CD565B"/>
    <w:rsid w:val="00CE131D"/>
    <w:rsid w:val="00CE3F80"/>
    <w:rsid w:val="00CE605F"/>
    <w:rsid w:val="00CE7C9A"/>
    <w:rsid w:val="00CF044F"/>
    <w:rsid w:val="00CF2436"/>
    <w:rsid w:val="00CF6693"/>
    <w:rsid w:val="00CF69F8"/>
    <w:rsid w:val="00D018D7"/>
    <w:rsid w:val="00D10D28"/>
    <w:rsid w:val="00D11665"/>
    <w:rsid w:val="00D139A6"/>
    <w:rsid w:val="00D15496"/>
    <w:rsid w:val="00D15FC2"/>
    <w:rsid w:val="00D1693C"/>
    <w:rsid w:val="00D23FC8"/>
    <w:rsid w:val="00D26363"/>
    <w:rsid w:val="00D26F67"/>
    <w:rsid w:val="00D31229"/>
    <w:rsid w:val="00D33CB0"/>
    <w:rsid w:val="00D41230"/>
    <w:rsid w:val="00D422B6"/>
    <w:rsid w:val="00D46419"/>
    <w:rsid w:val="00D4706B"/>
    <w:rsid w:val="00D47291"/>
    <w:rsid w:val="00D505AF"/>
    <w:rsid w:val="00D511DE"/>
    <w:rsid w:val="00D52133"/>
    <w:rsid w:val="00D636C4"/>
    <w:rsid w:val="00D645B3"/>
    <w:rsid w:val="00D64D72"/>
    <w:rsid w:val="00D65AC6"/>
    <w:rsid w:val="00D746AE"/>
    <w:rsid w:val="00D763DC"/>
    <w:rsid w:val="00D765FC"/>
    <w:rsid w:val="00D8082D"/>
    <w:rsid w:val="00D81156"/>
    <w:rsid w:val="00D87F58"/>
    <w:rsid w:val="00D90108"/>
    <w:rsid w:val="00D9341C"/>
    <w:rsid w:val="00D95057"/>
    <w:rsid w:val="00DA0269"/>
    <w:rsid w:val="00DA10B4"/>
    <w:rsid w:val="00DA53BD"/>
    <w:rsid w:val="00DA7424"/>
    <w:rsid w:val="00DB1217"/>
    <w:rsid w:val="00DB174D"/>
    <w:rsid w:val="00DB3F3D"/>
    <w:rsid w:val="00DC1A4B"/>
    <w:rsid w:val="00DC342B"/>
    <w:rsid w:val="00DC40AB"/>
    <w:rsid w:val="00DC51DF"/>
    <w:rsid w:val="00DC53BC"/>
    <w:rsid w:val="00DC57B9"/>
    <w:rsid w:val="00DC5926"/>
    <w:rsid w:val="00DD08EB"/>
    <w:rsid w:val="00DD3C1D"/>
    <w:rsid w:val="00DE37E4"/>
    <w:rsid w:val="00DE6F69"/>
    <w:rsid w:val="00DE7B1E"/>
    <w:rsid w:val="00DF017F"/>
    <w:rsid w:val="00E04500"/>
    <w:rsid w:val="00E105ED"/>
    <w:rsid w:val="00E11CBF"/>
    <w:rsid w:val="00E11CFC"/>
    <w:rsid w:val="00E14FE9"/>
    <w:rsid w:val="00E21C0C"/>
    <w:rsid w:val="00E30B13"/>
    <w:rsid w:val="00E420FA"/>
    <w:rsid w:val="00E51A75"/>
    <w:rsid w:val="00E524AE"/>
    <w:rsid w:val="00E5343F"/>
    <w:rsid w:val="00E57BDC"/>
    <w:rsid w:val="00E57D9E"/>
    <w:rsid w:val="00E65E85"/>
    <w:rsid w:val="00E703D9"/>
    <w:rsid w:val="00E70565"/>
    <w:rsid w:val="00E75157"/>
    <w:rsid w:val="00E7790E"/>
    <w:rsid w:val="00E80987"/>
    <w:rsid w:val="00E82AC6"/>
    <w:rsid w:val="00E839A0"/>
    <w:rsid w:val="00E83E5B"/>
    <w:rsid w:val="00E86095"/>
    <w:rsid w:val="00E97E79"/>
    <w:rsid w:val="00EA369C"/>
    <w:rsid w:val="00EA4117"/>
    <w:rsid w:val="00EA6565"/>
    <w:rsid w:val="00EA70A1"/>
    <w:rsid w:val="00EA7EA5"/>
    <w:rsid w:val="00EB3606"/>
    <w:rsid w:val="00EB4776"/>
    <w:rsid w:val="00EC4A6C"/>
    <w:rsid w:val="00EC6360"/>
    <w:rsid w:val="00ED27D9"/>
    <w:rsid w:val="00ED567A"/>
    <w:rsid w:val="00ED6D09"/>
    <w:rsid w:val="00EE1520"/>
    <w:rsid w:val="00EE15E0"/>
    <w:rsid w:val="00EF34A5"/>
    <w:rsid w:val="00EF3F6C"/>
    <w:rsid w:val="00EF61EE"/>
    <w:rsid w:val="00EF6E67"/>
    <w:rsid w:val="00F05E49"/>
    <w:rsid w:val="00F1457B"/>
    <w:rsid w:val="00F14943"/>
    <w:rsid w:val="00F14C83"/>
    <w:rsid w:val="00F1509E"/>
    <w:rsid w:val="00F169CB"/>
    <w:rsid w:val="00F205C7"/>
    <w:rsid w:val="00F2560B"/>
    <w:rsid w:val="00F30E6D"/>
    <w:rsid w:val="00F36332"/>
    <w:rsid w:val="00F40C3C"/>
    <w:rsid w:val="00F41682"/>
    <w:rsid w:val="00F421FE"/>
    <w:rsid w:val="00F42F9A"/>
    <w:rsid w:val="00F45FE0"/>
    <w:rsid w:val="00F47055"/>
    <w:rsid w:val="00F473A6"/>
    <w:rsid w:val="00F5114B"/>
    <w:rsid w:val="00F51D82"/>
    <w:rsid w:val="00F55E39"/>
    <w:rsid w:val="00F574BF"/>
    <w:rsid w:val="00F6245D"/>
    <w:rsid w:val="00F65334"/>
    <w:rsid w:val="00F6545B"/>
    <w:rsid w:val="00F7058E"/>
    <w:rsid w:val="00F70DFB"/>
    <w:rsid w:val="00F727AF"/>
    <w:rsid w:val="00F82CB7"/>
    <w:rsid w:val="00F852BA"/>
    <w:rsid w:val="00F908AE"/>
    <w:rsid w:val="00F92776"/>
    <w:rsid w:val="00F92953"/>
    <w:rsid w:val="00F9714B"/>
    <w:rsid w:val="00F9794D"/>
    <w:rsid w:val="00FA04F7"/>
    <w:rsid w:val="00FA0FE9"/>
    <w:rsid w:val="00FB2A7D"/>
    <w:rsid w:val="00FB31FD"/>
    <w:rsid w:val="00FC02FE"/>
    <w:rsid w:val="00FC04A0"/>
    <w:rsid w:val="00FC1662"/>
    <w:rsid w:val="00FC1F6E"/>
    <w:rsid w:val="00FC3381"/>
    <w:rsid w:val="00FC4402"/>
    <w:rsid w:val="00FC71AA"/>
    <w:rsid w:val="00FE6533"/>
    <w:rsid w:val="00FF1023"/>
    <w:rsid w:val="00FF4B17"/>
    <w:rsid w:val="00FF4FC4"/>
    <w:rsid w:val="00FF5BA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"/>
    <w:link w:val="a5"/>
    <w:uiPriority w:val="99"/>
    <w:rsid w:val="002134B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2134B0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606B03"/>
    <w:pPr>
      <w:spacing w:after="120"/>
    </w:pPr>
    <w:rPr>
      <w:sz w:val="16"/>
      <w:szCs w:val="16"/>
    </w:rPr>
  </w:style>
  <w:style w:type="paragraph" w:customStyle="1" w:styleId="11">
    <w:name w:val="Знак Знак11 Знак Знак Знак Знак"/>
    <w:basedOn w:val="a"/>
    <w:rsid w:val="002B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4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B472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47207"/>
    <w:rPr>
      <w:sz w:val="24"/>
      <w:szCs w:val="24"/>
    </w:rPr>
  </w:style>
  <w:style w:type="paragraph" w:customStyle="1" w:styleId="ConsPlusNormal">
    <w:name w:val="ConsPlusNormal"/>
    <w:rsid w:val="00C400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6E7514"/>
    <w:rPr>
      <w:b/>
      <w:sz w:val="28"/>
    </w:rPr>
  </w:style>
  <w:style w:type="character" w:customStyle="1" w:styleId="a7">
    <w:name w:val="Основной текст с отступом Знак"/>
    <w:link w:val="a6"/>
    <w:rsid w:val="00531EF1"/>
    <w:rPr>
      <w:sz w:val="28"/>
    </w:rPr>
  </w:style>
  <w:style w:type="character" w:styleId="ac">
    <w:name w:val="Hyperlink"/>
    <w:uiPriority w:val="99"/>
    <w:unhideWhenUsed/>
    <w:rsid w:val="00660A9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CD2DC2"/>
    <w:rPr>
      <w:snapToGrid w:val="0"/>
      <w:sz w:val="28"/>
    </w:rPr>
  </w:style>
  <w:style w:type="paragraph" w:styleId="21">
    <w:name w:val="Body Text Indent 2"/>
    <w:basedOn w:val="a"/>
    <w:link w:val="22"/>
    <w:rsid w:val="00741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41F31"/>
    <w:rPr>
      <w:sz w:val="24"/>
      <w:szCs w:val="24"/>
    </w:rPr>
  </w:style>
  <w:style w:type="paragraph" w:customStyle="1" w:styleId="23">
    <w:name w:val="Обычный2"/>
    <w:rsid w:val="00F82CB7"/>
    <w:pPr>
      <w:snapToGrid w:val="0"/>
    </w:pPr>
    <w:rPr>
      <w:sz w:val="28"/>
    </w:rPr>
  </w:style>
  <w:style w:type="character" w:customStyle="1" w:styleId="10">
    <w:name w:val="Обычный1 Знак"/>
    <w:link w:val="1"/>
    <w:uiPriority w:val="99"/>
    <w:rsid w:val="00FF5BA6"/>
    <w:rPr>
      <w:snapToGrid w:val="0"/>
      <w:sz w:val="28"/>
    </w:rPr>
  </w:style>
  <w:style w:type="paragraph" w:customStyle="1" w:styleId="ConsNormal">
    <w:name w:val="ConsNormal"/>
    <w:rsid w:val="00FF5BA6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9D7C-826E-48B2-88E6-1E403494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2050</CharactersWithSpaces>
  <SharedDoc>false</SharedDoc>
  <HLinks>
    <vt:vector size="42" baseType="variant">
      <vt:variant>
        <vt:i4>71173227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Промэнергосеть!A1</vt:lpwstr>
      </vt:variant>
      <vt:variant>
        <vt:i4>70647824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Смоленскоблкоммунэнерго!A1</vt:lpwstr>
      </vt:variant>
      <vt:variant>
        <vt:i4>2622564</vt:i4>
      </vt:variant>
      <vt:variant>
        <vt:i4>12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'Электросеть-Сафоново'!A1</vt:lpwstr>
      </vt:variant>
      <vt:variant>
        <vt:i4>71435280</vt:i4>
      </vt:variant>
      <vt:variant>
        <vt:i4>9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Горэлектро!A1</vt:lpwstr>
      </vt:variant>
      <vt:variant>
        <vt:i4>983067</vt:i4>
      </vt:variant>
      <vt:variant>
        <vt:i4>6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983067</vt:i4>
      </vt:variant>
      <vt:variant>
        <vt:i4>3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71237654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РЖД!A1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</dc:creator>
  <cp:keywords/>
  <cp:lastModifiedBy>1</cp:lastModifiedBy>
  <cp:revision>23</cp:revision>
  <cp:lastPrinted>2024-09-30T11:21:00Z</cp:lastPrinted>
  <dcterms:created xsi:type="dcterms:W3CDTF">2024-01-16T09:38:00Z</dcterms:created>
  <dcterms:modified xsi:type="dcterms:W3CDTF">2024-10-01T06:21:00Z</dcterms:modified>
</cp:coreProperties>
</file>